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17" w:rsidRPr="001C1157" w:rsidRDefault="00142B17" w:rsidP="00142B17">
      <w:pPr>
        <w:spacing w:after="0" w:line="240" w:lineRule="auto"/>
        <w:jc w:val="center"/>
        <w:rPr>
          <w:b/>
          <w:sz w:val="28"/>
          <w:szCs w:val="28"/>
        </w:rPr>
      </w:pPr>
      <w:r w:rsidRPr="001C1157">
        <w:rPr>
          <w:b/>
          <w:sz w:val="28"/>
          <w:szCs w:val="28"/>
        </w:rPr>
        <w:t xml:space="preserve">Section-by-Section </w:t>
      </w:r>
      <w:r w:rsidR="004A227D">
        <w:rPr>
          <w:b/>
          <w:sz w:val="28"/>
          <w:szCs w:val="28"/>
        </w:rPr>
        <w:t>Comments</w:t>
      </w:r>
      <w:r w:rsidRPr="001C1157">
        <w:rPr>
          <w:b/>
          <w:sz w:val="28"/>
          <w:szCs w:val="28"/>
        </w:rPr>
        <w:t xml:space="preserve"> for the RHP </w:t>
      </w:r>
      <w:r w:rsidR="00D73B18">
        <w:rPr>
          <w:b/>
          <w:sz w:val="28"/>
          <w:szCs w:val="28"/>
        </w:rPr>
        <w:t>10</w:t>
      </w:r>
      <w:r w:rsidRPr="001C1157">
        <w:rPr>
          <w:b/>
          <w:sz w:val="28"/>
          <w:szCs w:val="28"/>
        </w:rPr>
        <w:t xml:space="preserve"> Plan</w:t>
      </w:r>
    </w:p>
    <w:p w:rsidR="00142B17" w:rsidRDefault="00142B17" w:rsidP="007A3A36">
      <w:pPr>
        <w:spacing w:after="0" w:line="240" w:lineRule="auto"/>
        <w:rPr>
          <w:sz w:val="24"/>
          <w:szCs w:val="24"/>
        </w:rPr>
      </w:pPr>
    </w:p>
    <w:p w:rsidR="00860F35" w:rsidRDefault="00860F35" w:rsidP="00860F35">
      <w:pPr>
        <w:spacing w:after="0" w:line="240" w:lineRule="auto"/>
      </w:pPr>
      <w:r>
        <w:rPr>
          <w:sz w:val="24"/>
          <w:szCs w:val="24"/>
        </w:rPr>
        <w:t xml:space="preserve">Instructions:  </w:t>
      </w:r>
      <w:r>
        <w:t xml:space="preserve">The following table includes </w:t>
      </w:r>
      <w:r w:rsidR="00BD75CC">
        <w:t>HHSC comments about sections of</w:t>
      </w:r>
      <w:r>
        <w:t xml:space="preserve"> the RHP Plan. </w:t>
      </w:r>
      <w:r w:rsidR="00BD75CC">
        <w:t>Outstanding issues are</w:t>
      </w:r>
      <w:r>
        <w:t xml:space="preserve"> noted, and the associated plan section is identified. </w:t>
      </w:r>
      <w:r w:rsidR="00BD75CC">
        <w:t xml:space="preserve">Space is provided for CMS to comment on each RHP Plan Section. </w:t>
      </w:r>
    </w:p>
    <w:p w:rsidR="001C1157" w:rsidRPr="001C1157" w:rsidRDefault="001C1157" w:rsidP="007A3A3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2"/>
        <w:gridCol w:w="3506"/>
        <w:gridCol w:w="8730"/>
      </w:tblGrid>
      <w:tr w:rsidR="00A434C7" w:rsidTr="00BD75CC">
        <w:trPr>
          <w:trHeight w:val="288"/>
          <w:tblHeader/>
        </w:trPr>
        <w:tc>
          <w:tcPr>
            <w:tcW w:w="922" w:type="dxa"/>
            <w:shd w:val="pct25" w:color="auto" w:fill="auto"/>
            <w:vAlign w:val="center"/>
          </w:tcPr>
          <w:p w:rsidR="00A434C7" w:rsidRPr="00AF1DE3" w:rsidRDefault="00A01853" w:rsidP="00AF1DE3">
            <w:pPr>
              <w:jc w:val="center"/>
              <w:rPr>
                <w:b/>
              </w:rPr>
            </w:pPr>
            <w:r w:rsidRPr="00AF1DE3">
              <w:rPr>
                <w:b/>
              </w:rPr>
              <w:t>Plan Section</w:t>
            </w:r>
          </w:p>
        </w:tc>
        <w:tc>
          <w:tcPr>
            <w:tcW w:w="3506" w:type="dxa"/>
            <w:shd w:val="pct25" w:color="auto" w:fill="auto"/>
            <w:vAlign w:val="center"/>
          </w:tcPr>
          <w:p w:rsidR="00A434C7" w:rsidRPr="00AF1DE3" w:rsidRDefault="001C1157" w:rsidP="00AF1DE3">
            <w:pPr>
              <w:jc w:val="center"/>
              <w:rPr>
                <w:b/>
              </w:rPr>
            </w:pPr>
            <w:r>
              <w:rPr>
                <w:b/>
              </w:rPr>
              <w:t>HHSC Comments to CMS</w:t>
            </w:r>
          </w:p>
        </w:tc>
        <w:tc>
          <w:tcPr>
            <w:tcW w:w="8730" w:type="dxa"/>
            <w:shd w:val="pct25" w:color="auto" w:fill="auto"/>
            <w:vAlign w:val="center"/>
          </w:tcPr>
          <w:p w:rsidR="00A434C7" w:rsidRPr="00AF1DE3" w:rsidRDefault="001C1157" w:rsidP="001962AC">
            <w:pPr>
              <w:jc w:val="center"/>
              <w:rPr>
                <w:b/>
              </w:rPr>
            </w:pPr>
            <w:r>
              <w:rPr>
                <w:b/>
              </w:rPr>
              <w:t>CMS Comments</w:t>
            </w:r>
          </w:p>
        </w:tc>
      </w:tr>
      <w:tr w:rsidR="001C1157" w:rsidTr="00BD75CC">
        <w:trPr>
          <w:trHeight w:val="1296"/>
        </w:trPr>
        <w:tc>
          <w:tcPr>
            <w:tcW w:w="922" w:type="dxa"/>
          </w:tcPr>
          <w:p w:rsidR="001C1157" w:rsidRPr="009105BC" w:rsidRDefault="001C1157" w:rsidP="00A01853">
            <w:pPr>
              <w:jc w:val="center"/>
            </w:pPr>
            <w:r w:rsidRPr="008A6160">
              <w:t>Full Plan</w:t>
            </w:r>
          </w:p>
        </w:tc>
        <w:tc>
          <w:tcPr>
            <w:tcW w:w="3506" w:type="dxa"/>
          </w:tcPr>
          <w:p w:rsidR="009105BC" w:rsidRPr="002C5346" w:rsidRDefault="009105BC" w:rsidP="002C5346"/>
        </w:tc>
        <w:tc>
          <w:tcPr>
            <w:tcW w:w="8730" w:type="dxa"/>
          </w:tcPr>
          <w:p w:rsidR="001C1157" w:rsidRDefault="001C1157" w:rsidP="007A3A36"/>
        </w:tc>
      </w:tr>
      <w:tr w:rsidR="00A434C7" w:rsidTr="00675A7F">
        <w:trPr>
          <w:trHeight w:val="341"/>
        </w:trPr>
        <w:tc>
          <w:tcPr>
            <w:tcW w:w="922" w:type="dxa"/>
          </w:tcPr>
          <w:p w:rsidR="00A434C7" w:rsidRDefault="00A01853" w:rsidP="00A01853">
            <w:pPr>
              <w:jc w:val="center"/>
            </w:pPr>
            <w:r>
              <w:t>I</w:t>
            </w:r>
          </w:p>
        </w:tc>
        <w:tc>
          <w:tcPr>
            <w:tcW w:w="3506" w:type="dxa"/>
          </w:tcPr>
          <w:p w:rsidR="002C5346" w:rsidRPr="00675A7F" w:rsidRDefault="00246DF0" w:rsidP="007C551D">
            <w:r>
              <w:t xml:space="preserve">Issues identified with invalid TINs for the anchor and the following additional TINs in the “RHP Participant and Stakeholder Information” table: </w:t>
            </w:r>
            <w:r w:rsidR="007C551D">
              <w:rPr>
                <w:sz w:val="20"/>
                <w:szCs w:val="20"/>
              </w:rPr>
              <w:t xml:space="preserve">17560004399150, </w:t>
            </w:r>
            <w:r w:rsidRPr="00246DF0">
              <w:rPr>
                <w:sz w:val="20"/>
                <w:szCs w:val="20"/>
              </w:rPr>
              <w:t xml:space="preserve">75139762200201, </w:t>
            </w:r>
            <w:proofErr w:type="gramStart"/>
            <w:r w:rsidRPr="00246DF0">
              <w:rPr>
                <w:sz w:val="20"/>
                <w:szCs w:val="20"/>
              </w:rPr>
              <w:t>11616766869150</w:t>
            </w:r>
            <w:proofErr w:type="gramEnd"/>
            <w:r w:rsidRPr="00246DF0">
              <w:rPr>
                <w:sz w:val="20"/>
                <w:szCs w:val="20"/>
              </w:rPr>
              <w:t>.</w:t>
            </w:r>
          </w:p>
        </w:tc>
        <w:tc>
          <w:tcPr>
            <w:tcW w:w="8730" w:type="dxa"/>
          </w:tcPr>
          <w:p w:rsidR="00A434C7" w:rsidRDefault="00A434C7" w:rsidP="007A3A36"/>
        </w:tc>
      </w:tr>
      <w:tr w:rsidR="00F07782" w:rsidTr="00BD75CC">
        <w:trPr>
          <w:trHeight w:val="1296"/>
        </w:trPr>
        <w:tc>
          <w:tcPr>
            <w:tcW w:w="922" w:type="dxa"/>
          </w:tcPr>
          <w:p w:rsidR="00F07782" w:rsidRDefault="00F07782" w:rsidP="00A01853">
            <w:pPr>
              <w:jc w:val="center"/>
            </w:pPr>
            <w:r>
              <w:t>II</w:t>
            </w:r>
          </w:p>
        </w:tc>
        <w:tc>
          <w:tcPr>
            <w:tcW w:w="3506" w:type="dxa"/>
          </w:tcPr>
          <w:p w:rsidR="00615FE9" w:rsidRDefault="00BD75CC" w:rsidP="00C74106">
            <w:r>
              <w:t>HHSC</w:t>
            </w:r>
            <w:r w:rsidR="00AA265B">
              <w:t xml:space="preserve"> noted that</w:t>
            </w:r>
            <w:r>
              <w:t xml:space="preserve"> </w:t>
            </w:r>
            <w:r w:rsidR="00AA265B">
              <w:t>certain items in</w:t>
            </w:r>
            <w:r w:rsidR="008B6966" w:rsidRPr="008B6966">
              <w:t xml:space="preserve"> Section II, Summary of Categories 1‐2 Projects table</w:t>
            </w:r>
            <w:r w:rsidR="00AA265B">
              <w:t>, do not</w:t>
            </w:r>
            <w:r w:rsidR="008B6966" w:rsidRPr="008B6966">
              <w:t xml:space="preserve"> </w:t>
            </w:r>
            <w:r w:rsidR="00F75E15">
              <w:t>match</w:t>
            </w:r>
            <w:r w:rsidR="008B6966" w:rsidRPr="008B6966">
              <w:t xml:space="preserve"> the information included in Section V</w:t>
            </w:r>
            <w:r w:rsidR="00C74106">
              <w:t xml:space="preserve">. These mismatches are highlighted on the “Section II” tab of the </w:t>
            </w:r>
            <w:r w:rsidR="00C74106" w:rsidRPr="00173E8B">
              <w:rPr>
                <w:i/>
              </w:rPr>
              <w:t>RHP</w:t>
            </w:r>
            <w:r w:rsidR="00D73B18">
              <w:rPr>
                <w:i/>
              </w:rPr>
              <w:t>10</w:t>
            </w:r>
            <w:r w:rsidR="00C74106" w:rsidRPr="00173E8B">
              <w:rPr>
                <w:i/>
              </w:rPr>
              <w:t xml:space="preserve"> Technical Review and Valuation</w:t>
            </w:r>
            <w:r w:rsidR="00C74106">
              <w:t xml:space="preserve"> document.</w:t>
            </w:r>
          </w:p>
          <w:p w:rsidR="009105BC" w:rsidRPr="00AA265B" w:rsidRDefault="009105BC" w:rsidP="00C74106"/>
        </w:tc>
        <w:tc>
          <w:tcPr>
            <w:tcW w:w="8730" w:type="dxa"/>
          </w:tcPr>
          <w:p w:rsidR="00F07782" w:rsidRDefault="00F07782" w:rsidP="007A3A36"/>
        </w:tc>
      </w:tr>
      <w:tr w:rsidR="001C1157" w:rsidTr="00BD75CC">
        <w:trPr>
          <w:trHeight w:val="1296"/>
        </w:trPr>
        <w:tc>
          <w:tcPr>
            <w:tcW w:w="922" w:type="dxa"/>
          </w:tcPr>
          <w:p w:rsidR="001C1157" w:rsidRDefault="001C1157" w:rsidP="00A01853">
            <w:pPr>
              <w:jc w:val="center"/>
            </w:pPr>
            <w:r>
              <w:t>III</w:t>
            </w:r>
          </w:p>
        </w:tc>
        <w:tc>
          <w:tcPr>
            <w:tcW w:w="3506" w:type="dxa"/>
          </w:tcPr>
          <w:p w:rsidR="001C1157" w:rsidRDefault="00F75E15" w:rsidP="00AA265B">
            <w:r>
              <w:t xml:space="preserve">CMS review of October 31, </w:t>
            </w:r>
            <w:proofErr w:type="gramStart"/>
            <w:r>
              <w:t>201</w:t>
            </w:r>
            <w:r w:rsidR="00AA265B">
              <w:t>2</w:t>
            </w:r>
            <w:r w:rsidR="00267863">
              <w:t>,</w:t>
            </w:r>
            <w:proofErr w:type="gramEnd"/>
            <w:r>
              <w:t xml:space="preserve"> Community Needs submission did not include feedback for this region. </w:t>
            </w:r>
            <w:r w:rsidR="00173E8B">
              <w:t xml:space="preserve">HHSC did not request that RHP </w:t>
            </w:r>
            <w:r w:rsidR="00D73B18">
              <w:t>10</w:t>
            </w:r>
            <w:r w:rsidR="00173E8B">
              <w:t xml:space="preserve"> make changes to Section III. </w:t>
            </w:r>
          </w:p>
          <w:p w:rsidR="009105BC" w:rsidRDefault="009105BC" w:rsidP="00AA265B"/>
        </w:tc>
        <w:tc>
          <w:tcPr>
            <w:tcW w:w="8730" w:type="dxa"/>
          </w:tcPr>
          <w:p w:rsidR="001C1157" w:rsidRDefault="001C1157" w:rsidP="007A3A36"/>
        </w:tc>
      </w:tr>
      <w:tr w:rsidR="00F07782" w:rsidTr="009105BC">
        <w:trPr>
          <w:trHeight w:val="800"/>
        </w:trPr>
        <w:tc>
          <w:tcPr>
            <w:tcW w:w="922" w:type="dxa"/>
          </w:tcPr>
          <w:p w:rsidR="00F07782" w:rsidRDefault="00F07782" w:rsidP="00A01853">
            <w:pPr>
              <w:jc w:val="center"/>
            </w:pPr>
            <w:r>
              <w:lastRenderedPageBreak/>
              <w:t>IV</w:t>
            </w:r>
          </w:p>
        </w:tc>
        <w:tc>
          <w:tcPr>
            <w:tcW w:w="3506" w:type="dxa"/>
          </w:tcPr>
          <w:p w:rsidR="002570E3" w:rsidRDefault="00F75E15" w:rsidP="002C5346">
            <w:r>
              <w:t xml:space="preserve">HHSC </w:t>
            </w:r>
            <w:r w:rsidR="00AA265B">
              <w:t xml:space="preserve">did not </w:t>
            </w:r>
            <w:r w:rsidR="0005486F">
              <w:t>note outstanding issues for</w:t>
            </w:r>
            <w:r w:rsidR="00AA265B">
              <w:t xml:space="preserve"> RHP </w:t>
            </w:r>
            <w:r w:rsidR="00D73B18">
              <w:t>10</w:t>
            </w:r>
            <w:r w:rsidR="00AA265B">
              <w:t xml:space="preserve"> </w:t>
            </w:r>
            <w:r w:rsidR="0005486F">
              <w:t>for</w:t>
            </w:r>
            <w:r w:rsidR="00AA265B">
              <w:t xml:space="preserve"> Section IV</w:t>
            </w:r>
            <w:r w:rsidR="00173E8B">
              <w:t xml:space="preserve">. </w:t>
            </w:r>
          </w:p>
        </w:tc>
        <w:tc>
          <w:tcPr>
            <w:tcW w:w="8730" w:type="dxa"/>
          </w:tcPr>
          <w:p w:rsidR="00F07782" w:rsidRDefault="00F07782" w:rsidP="007A3A36"/>
        </w:tc>
      </w:tr>
      <w:tr w:rsidR="00551683" w:rsidTr="00BD75CC">
        <w:trPr>
          <w:trHeight w:val="1296"/>
        </w:trPr>
        <w:tc>
          <w:tcPr>
            <w:tcW w:w="922" w:type="dxa"/>
          </w:tcPr>
          <w:p w:rsidR="00551683" w:rsidRDefault="00551683" w:rsidP="005A5C75">
            <w:pPr>
              <w:jc w:val="center"/>
            </w:pPr>
            <w:r>
              <w:t>V</w:t>
            </w:r>
          </w:p>
          <w:p w:rsidR="001C1157" w:rsidRDefault="001C1157" w:rsidP="005A5C75">
            <w:pPr>
              <w:jc w:val="center"/>
            </w:pPr>
            <w:r>
              <w:t>General</w:t>
            </w:r>
          </w:p>
        </w:tc>
        <w:tc>
          <w:tcPr>
            <w:tcW w:w="3506" w:type="dxa"/>
          </w:tcPr>
          <w:p w:rsidR="00551683" w:rsidRDefault="00173E8B" w:rsidP="003F3150">
            <w:r>
              <w:t xml:space="preserve">Please see the </w:t>
            </w:r>
            <w:r w:rsidRPr="00173E8B">
              <w:rPr>
                <w:i/>
              </w:rPr>
              <w:t>RHP</w:t>
            </w:r>
            <w:r w:rsidR="00D73B18">
              <w:rPr>
                <w:i/>
              </w:rPr>
              <w:t>10</w:t>
            </w:r>
            <w:r w:rsidRPr="00173E8B">
              <w:rPr>
                <w:i/>
              </w:rPr>
              <w:t xml:space="preserve"> Technical Review and Valuation</w:t>
            </w:r>
            <w:r>
              <w:t xml:space="preserve"> document for information related to Valuation and Technical Review of Section V.</w:t>
            </w:r>
          </w:p>
          <w:p w:rsidR="002570E3" w:rsidRDefault="002570E3" w:rsidP="003F3150"/>
        </w:tc>
        <w:tc>
          <w:tcPr>
            <w:tcW w:w="8730" w:type="dxa"/>
          </w:tcPr>
          <w:p w:rsidR="00551683" w:rsidRDefault="00551683" w:rsidP="005A5C75"/>
        </w:tc>
      </w:tr>
      <w:tr w:rsidR="0073493C" w:rsidTr="00BD75CC">
        <w:trPr>
          <w:trHeight w:val="1296"/>
        </w:trPr>
        <w:tc>
          <w:tcPr>
            <w:tcW w:w="922" w:type="dxa"/>
          </w:tcPr>
          <w:p w:rsidR="0073493C" w:rsidRDefault="0073493C" w:rsidP="00A01853">
            <w:pPr>
              <w:jc w:val="center"/>
            </w:pPr>
            <w:r>
              <w:t>V</w:t>
            </w:r>
          </w:p>
          <w:p w:rsidR="001C1157" w:rsidRDefault="001C1157" w:rsidP="00A01853">
            <w:pPr>
              <w:jc w:val="center"/>
            </w:pPr>
            <w:r>
              <w:t>Cat. 1</w:t>
            </w:r>
          </w:p>
        </w:tc>
        <w:tc>
          <w:tcPr>
            <w:tcW w:w="3506" w:type="dxa"/>
          </w:tcPr>
          <w:p w:rsidR="00173E8B" w:rsidRDefault="00173E8B" w:rsidP="00173E8B">
            <w:r>
              <w:t xml:space="preserve">Please see the </w:t>
            </w:r>
            <w:r w:rsidRPr="00173E8B">
              <w:rPr>
                <w:i/>
              </w:rPr>
              <w:t>RHP</w:t>
            </w:r>
            <w:r w:rsidR="00D73B18">
              <w:rPr>
                <w:i/>
              </w:rPr>
              <w:t>10</w:t>
            </w:r>
            <w:r w:rsidRPr="00173E8B">
              <w:rPr>
                <w:i/>
              </w:rPr>
              <w:t xml:space="preserve"> Technical Review and Valuation</w:t>
            </w:r>
            <w:r>
              <w:t xml:space="preserve"> document for information related to Valuation and Technical Review of Section V.</w:t>
            </w:r>
          </w:p>
          <w:p w:rsidR="002570E3" w:rsidRDefault="002570E3" w:rsidP="001C1157"/>
        </w:tc>
        <w:tc>
          <w:tcPr>
            <w:tcW w:w="8730" w:type="dxa"/>
          </w:tcPr>
          <w:p w:rsidR="0073493C" w:rsidRDefault="0073493C" w:rsidP="007A3A36"/>
        </w:tc>
      </w:tr>
      <w:tr w:rsidR="0073493C" w:rsidTr="009105BC">
        <w:trPr>
          <w:trHeight w:val="341"/>
        </w:trPr>
        <w:tc>
          <w:tcPr>
            <w:tcW w:w="922" w:type="dxa"/>
          </w:tcPr>
          <w:p w:rsidR="0073493C" w:rsidRDefault="0073493C" w:rsidP="00A01853">
            <w:pPr>
              <w:jc w:val="center"/>
            </w:pPr>
            <w:r>
              <w:t>V</w:t>
            </w:r>
          </w:p>
          <w:p w:rsidR="001C1157" w:rsidRDefault="001C1157" w:rsidP="00A01853">
            <w:pPr>
              <w:jc w:val="center"/>
            </w:pPr>
            <w:r>
              <w:t>Cat. 2</w:t>
            </w:r>
          </w:p>
        </w:tc>
        <w:tc>
          <w:tcPr>
            <w:tcW w:w="3506" w:type="dxa"/>
          </w:tcPr>
          <w:p w:rsidR="00173E8B" w:rsidRDefault="00173E8B" w:rsidP="00173E8B">
            <w:r>
              <w:t xml:space="preserve">Please see the </w:t>
            </w:r>
            <w:r w:rsidRPr="00173E8B">
              <w:rPr>
                <w:i/>
              </w:rPr>
              <w:t>RHP</w:t>
            </w:r>
            <w:r w:rsidR="00D73B18">
              <w:rPr>
                <w:i/>
              </w:rPr>
              <w:t>10</w:t>
            </w:r>
            <w:r w:rsidRPr="00173E8B">
              <w:rPr>
                <w:i/>
              </w:rPr>
              <w:t xml:space="preserve"> Technical Review and Valuation</w:t>
            </w:r>
            <w:r>
              <w:t xml:space="preserve"> document for information related to Valuation and Technical Review of Section V.</w:t>
            </w:r>
          </w:p>
          <w:p w:rsidR="002570E3" w:rsidRDefault="002570E3" w:rsidP="001C1157"/>
        </w:tc>
        <w:tc>
          <w:tcPr>
            <w:tcW w:w="8730" w:type="dxa"/>
          </w:tcPr>
          <w:p w:rsidR="0073493C" w:rsidRDefault="0073493C" w:rsidP="007A3A36"/>
        </w:tc>
      </w:tr>
      <w:tr w:rsidR="00A748E0" w:rsidTr="00BD75CC">
        <w:trPr>
          <w:trHeight w:val="1296"/>
        </w:trPr>
        <w:tc>
          <w:tcPr>
            <w:tcW w:w="922" w:type="dxa"/>
          </w:tcPr>
          <w:p w:rsidR="00A748E0" w:rsidRDefault="00A748E0" w:rsidP="006E6F6D">
            <w:pPr>
              <w:jc w:val="center"/>
            </w:pPr>
            <w:r>
              <w:t>V</w:t>
            </w:r>
          </w:p>
          <w:p w:rsidR="001C1157" w:rsidRDefault="001C1157" w:rsidP="006E6F6D">
            <w:pPr>
              <w:jc w:val="center"/>
            </w:pPr>
            <w:r>
              <w:t>Cat. 3</w:t>
            </w:r>
          </w:p>
        </w:tc>
        <w:tc>
          <w:tcPr>
            <w:tcW w:w="3506" w:type="dxa"/>
          </w:tcPr>
          <w:p w:rsidR="00173E8B" w:rsidRDefault="00173E8B" w:rsidP="00173E8B">
            <w:r>
              <w:t xml:space="preserve">Please see the </w:t>
            </w:r>
            <w:r w:rsidRPr="00173E8B">
              <w:rPr>
                <w:i/>
              </w:rPr>
              <w:t>RHP</w:t>
            </w:r>
            <w:r w:rsidR="00D73B18">
              <w:rPr>
                <w:i/>
              </w:rPr>
              <w:t>10</w:t>
            </w:r>
            <w:r w:rsidRPr="00173E8B">
              <w:rPr>
                <w:i/>
              </w:rPr>
              <w:t xml:space="preserve"> Technical Review and Valuation</w:t>
            </w:r>
            <w:r>
              <w:t xml:space="preserve"> document for information related to Valuation and Technical Review of Section V.</w:t>
            </w:r>
          </w:p>
          <w:p w:rsidR="00A748E0" w:rsidRDefault="00A748E0" w:rsidP="001C1157"/>
        </w:tc>
        <w:tc>
          <w:tcPr>
            <w:tcW w:w="8730" w:type="dxa"/>
          </w:tcPr>
          <w:p w:rsidR="00A748E0" w:rsidRDefault="00A748E0" w:rsidP="006E6F6D"/>
        </w:tc>
      </w:tr>
      <w:tr w:rsidR="001C1157" w:rsidTr="009105BC">
        <w:trPr>
          <w:trHeight w:val="881"/>
        </w:trPr>
        <w:tc>
          <w:tcPr>
            <w:tcW w:w="922" w:type="dxa"/>
          </w:tcPr>
          <w:p w:rsidR="001C1157" w:rsidRDefault="001C1157" w:rsidP="00A01853">
            <w:pPr>
              <w:jc w:val="center"/>
            </w:pPr>
            <w:r>
              <w:t>V</w:t>
            </w:r>
          </w:p>
          <w:p w:rsidR="001C1157" w:rsidRDefault="001C1157" w:rsidP="00A01853">
            <w:pPr>
              <w:jc w:val="center"/>
            </w:pPr>
            <w:r>
              <w:t>Cat. 4</w:t>
            </w:r>
          </w:p>
        </w:tc>
        <w:tc>
          <w:tcPr>
            <w:tcW w:w="3506" w:type="dxa"/>
          </w:tcPr>
          <w:p w:rsidR="008F2670" w:rsidRDefault="004A0ACF" w:rsidP="004A0ACF">
            <w:r>
              <w:t xml:space="preserve">HHSC did not note outstanding issues for RHP </w:t>
            </w:r>
            <w:r w:rsidR="00D73B18">
              <w:t>10</w:t>
            </w:r>
            <w:r>
              <w:t xml:space="preserve"> for Category 4.</w:t>
            </w:r>
          </w:p>
          <w:p w:rsidR="007C551D" w:rsidRDefault="007C551D" w:rsidP="007C551D">
            <w:pPr>
              <w:autoSpaceDE w:val="0"/>
              <w:autoSpaceDN w:val="0"/>
              <w:adjustRightInd w:val="0"/>
            </w:pPr>
            <w:r>
              <w:t>Most providers met requirements of this section. Outstanding issue</w:t>
            </w:r>
            <w:r w:rsidRPr="00CF362E">
              <w:t xml:space="preserve"> identified with </w:t>
            </w:r>
            <w:r>
              <w:t>Category 4</w:t>
            </w:r>
            <w:r w:rsidRPr="00CF362E">
              <w:t>:</w:t>
            </w:r>
          </w:p>
          <w:p w:rsidR="007C551D" w:rsidRPr="00792899" w:rsidRDefault="007C551D" w:rsidP="001F5E5E">
            <w:pPr>
              <w:pStyle w:val="ListParagraph"/>
              <w:numPr>
                <w:ilvl w:val="0"/>
                <w:numId w:val="7"/>
              </w:numPr>
              <w:ind w:left="158" w:hanging="180"/>
              <w:rPr>
                <w:rFonts w:asciiTheme="minorHAnsi" w:hAnsiTheme="minorHAnsi" w:cs="Calibri"/>
                <w:sz w:val="22"/>
                <w:szCs w:val="22"/>
              </w:rPr>
            </w:pPr>
            <w:r w:rsidRPr="001F5E5E">
              <w:rPr>
                <w:rFonts w:asciiTheme="minorHAnsi" w:hAnsiTheme="minorHAnsi" w:cs="Calibri"/>
                <w:sz w:val="22"/>
                <w:szCs w:val="22"/>
              </w:rPr>
              <w:t xml:space="preserve">Provider </w:t>
            </w:r>
            <w:r w:rsidR="001F5E5E" w:rsidRPr="001F5E5E">
              <w:rPr>
                <w:rFonts w:asciiTheme="minorHAnsi" w:hAnsiTheme="minorHAnsi" w:cs="Calibri"/>
                <w:sz w:val="22"/>
                <w:szCs w:val="22"/>
              </w:rPr>
              <w:t>Cook Children’s did not clearly indicate which of their projects would impact the identified RD-1 measures.</w:t>
            </w:r>
          </w:p>
          <w:p w:rsidR="00FF4A7B" w:rsidRPr="00792899" w:rsidRDefault="00792899" w:rsidP="00792899">
            <w:pPr>
              <w:pStyle w:val="ListParagraph"/>
              <w:numPr>
                <w:ilvl w:val="0"/>
                <w:numId w:val="7"/>
              </w:numPr>
              <w:ind w:left="158" w:hanging="180"/>
              <w:rPr>
                <w:rFonts w:asciiTheme="minorHAnsi" w:hAnsiTheme="minorHAnsi" w:cs="Calibri"/>
                <w:sz w:val="22"/>
                <w:szCs w:val="22"/>
              </w:rPr>
            </w:pPr>
            <w:r w:rsidRPr="00792899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The final plan template with updated RD-6 format was not used by the following providers:  </w:t>
            </w:r>
            <w:proofErr w:type="spellStart"/>
            <w:r w:rsidR="001F5E5E" w:rsidRPr="00792899">
              <w:rPr>
                <w:rFonts w:asciiTheme="minorHAnsi" w:hAnsiTheme="minorHAnsi" w:cs="Calibri"/>
                <w:sz w:val="22"/>
                <w:szCs w:val="22"/>
              </w:rPr>
              <w:t>Huguley</w:t>
            </w:r>
            <w:proofErr w:type="spellEnd"/>
            <w:r w:rsidR="001F5E5E" w:rsidRPr="00792899">
              <w:rPr>
                <w:rFonts w:asciiTheme="minorHAnsi" w:hAnsiTheme="minorHAnsi" w:cs="Calibri"/>
                <w:sz w:val="22"/>
                <w:szCs w:val="22"/>
              </w:rPr>
              <w:t xml:space="preserve"> Memorial</w:t>
            </w:r>
            <w:r w:rsidR="00FF4A7B" w:rsidRPr="00792899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08354D" w:rsidRPr="00792899">
              <w:rPr>
                <w:rFonts w:asciiTheme="minorHAnsi" w:hAnsiTheme="minorHAnsi" w:cs="Calibri"/>
                <w:sz w:val="22"/>
                <w:szCs w:val="22"/>
              </w:rPr>
              <w:t>Texas Health Arlington</w:t>
            </w:r>
            <w:r w:rsidR="00FF4A7B" w:rsidRPr="00792899">
              <w:rPr>
                <w:rFonts w:asciiTheme="minorHAnsi" w:hAnsiTheme="minorHAnsi" w:cs="Calibri"/>
                <w:sz w:val="22"/>
                <w:szCs w:val="22"/>
              </w:rPr>
              <w:t xml:space="preserve"> Memorial /130614405</w:t>
            </w:r>
            <w:r w:rsidR="0008354D" w:rsidRPr="00792899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FF4A7B" w:rsidRPr="00792899">
              <w:rPr>
                <w:rFonts w:asciiTheme="minorHAnsi" w:hAnsiTheme="minorHAnsi" w:cs="Calibri"/>
                <w:sz w:val="22"/>
                <w:szCs w:val="22"/>
              </w:rPr>
              <w:t xml:space="preserve">and the following Texas Health Harris Methodist </w:t>
            </w:r>
            <w:r w:rsidRPr="00792899">
              <w:rPr>
                <w:rFonts w:asciiTheme="minorHAnsi" w:hAnsiTheme="minorHAnsi" w:cs="Calibri"/>
                <w:sz w:val="22"/>
                <w:szCs w:val="22"/>
              </w:rPr>
              <w:t xml:space="preserve">facilities - </w:t>
            </w:r>
            <w:r w:rsidR="00FF4A7B" w:rsidRPr="00792899">
              <w:rPr>
                <w:rFonts w:asciiTheme="minorHAnsi" w:hAnsiTheme="minorHAnsi" w:cs="Calibri"/>
                <w:sz w:val="22"/>
                <w:szCs w:val="22"/>
              </w:rPr>
              <w:t>Fort Worth / 112677302</w:t>
            </w:r>
            <w:r w:rsidRPr="00792899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FF4A7B" w:rsidRPr="00792899">
              <w:rPr>
                <w:rFonts w:asciiTheme="minorHAnsi" w:hAnsiTheme="minorHAnsi" w:cs="Calibri"/>
                <w:sz w:val="22"/>
                <w:szCs w:val="22"/>
              </w:rPr>
              <w:t>Southwest Fort Worth / 120726804</w:t>
            </w:r>
            <w:r w:rsidRPr="00792899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FF4A7B" w:rsidRPr="00792899">
              <w:rPr>
                <w:rFonts w:asciiTheme="minorHAnsi" w:hAnsiTheme="minorHAnsi" w:cs="Calibri"/>
                <w:sz w:val="22"/>
                <w:szCs w:val="22"/>
              </w:rPr>
              <w:t>Stephenville / 121794503</w:t>
            </w:r>
            <w:r w:rsidRPr="00792899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792899">
              <w:rPr>
                <w:rFonts w:asciiTheme="minorHAnsi" w:hAnsiTheme="minorHAnsi" w:cs="Calibri"/>
                <w:sz w:val="22"/>
                <w:szCs w:val="22"/>
              </w:rPr>
              <w:t>Azle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9289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FF4A7B" w:rsidRPr="00792899">
              <w:rPr>
                <w:rFonts w:asciiTheme="minorHAnsi" w:hAnsiTheme="minorHAnsi" w:cs="Calibri"/>
                <w:sz w:val="22"/>
                <w:szCs w:val="22"/>
              </w:rPr>
              <w:t>127304703</w:t>
            </w:r>
            <w:r w:rsidRPr="00792899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FF4A7B" w:rsidRPr="00792899">
              <w:rPr>
                <w:rFonts w:asciiTheme="minorHAnsi" w:hAnsiTheme="minorHAnsi" w:cs="Calibri"/>
                <w:sz w:val="22"/>
                <w:szCs w:val="22"/>
              </w:rPr>
              <w:t>Cleburne / 131036903</w:t>
            </w:r>
            <w:r w:rsidRPr="00792899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FF4A7B" w:rsidRPr="00792899">
              <w:rPr>
                <w:rFonts w:asciiTheme="minorHAnsi" w:hAnsiTheme="minorHAnsi" w:cs="Calibri"/>
                <w:sz w:val="22"/>
                <w:szCs w:val="22"/>
              </w:rPr>
              <w:t>Hurst Euless Bedford / 136326908</w:t>
            </w:r>
          </w:p>
          <w:p w:rsidR="001F5E5E" w:rsidRDefault="003357A6" w:rsidP="001F5E5E">
            <w:pPr>
              <w:pStyle w:val="ListParagraph"/>
              <w:numPr>
                <w:ilvl w:val="0"/>
                <w:numId w:val="7"/>
              </w:numPr>
              <w:ind w:left="1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Texas Health Harris Methodist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Azle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(127304703) </w:t>
            </w:r>
            <w:r w:rsidR="004A0DDD">
              <w:rPr>
                <w:rFonts w:asciiTheme="minorHAnsi" w:hAnsiTheme="minorHAnsi"/>
                <w:sz w:val="22"/>
                <w:szCs w:val="22"/>
              </w:rPr>
              <w:t>and Stephenville (</w:t>
            </w:r>
            <w:r w:rsidR="004A0DDD" w:rsidRPr="00A12F59">
              <w:rPr>
                <w:rFonts w:asciiTheme="minorHAnsi" w:hAnsiTheme="minorHAnsi"/>
                <w:sz w:val="22"/>
                <w:szCs w:val="22"/>
              </w:rPr>
              <w:t>121794503</w:t>
            </w:r>
            <w:r w:rsidR="004A0DDD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did not make clear </w:t>
            </w:r>
            <w:r w:rsidR="004A0DDD">
              <w:rPr>
                <w:rFonts w:asciiTheme="minorHAnsi" w:hAnsiTheme="minorHAnsi"/>
                <w:sz w:val="22"/>
                <w:szCs w:val="22"/>
              </w:rPr>
              <w:t xml:space="preserve">how their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primary care project </w:t>
            </w:r>
            <w:r w:rsidR="004A0DDD">
              <w:rPr>
                <w:rFonts w:asciiTheme="minorHAnsi" w:hAnsiTheme="minorHAnsi"/>
                <w:sz w:val="22"/>
                <w:szCs w:val="22"/>
              </w:rPr>
              <w:t xml:space="preserve">and outpatient diabetes project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would impact inpatient PPCs and inpatient patient satisfaction (RD-3 and RD-4). </w:t>
            </w:r>
          </w:p>
          <w:p w:rsidR="004A0DDD" w:rsidRDefault="004A0DDD" w:rsidP="004A0DDD">
            <w:pPr>
              <w:pStyle w:val="ListParagraph"/>
              <w:numPr>
                <w:ilvl w:val="0"/>
                <w:numId w:val="7"/>
              </w:numPr>
              <w:ind w:left="158" w:hanging="180"/>
              <w:rPr>
                <w:rFonts w:asciiTheme="minorHAnsi" w:hAnsiTheme="minorHAnsi"/>
                <w:sz w:val="22"/>
                <w:szCs w:val="22"/>
              </w:rPr>
            </w:pPr>
            <w:r w:rsidRPr="004A0DDD">
              <w:rPr>
                <w:rFonts w:asciiTheme="minorHAnsi" w:hAnsiTheme="minorHAnsi"/>
                <w:sz w:val="22"/>
                <w:szCs w:val="22"/>
              </w:rPr>
              <w:t xml:space="preserve">The following Texas Health Harris Methodist facilities had RD-5 narratives that </w:t>
            </w:r>
            <w:r w:rsidR="00A12F59" w:rsidRPr="004A0DDD">
              <w:rPr>
                <w:rFonts w:asciiTheme="minorHAnsi" w:hAnsiTheme="minorHAnsi"/>
                <w:sz w:val="22"/>
                <w:szCs w:val="22"/>
              </w:rPr>
              <w:t>focus</w:t>
            </w:r>
            <w:r w:rsidR="00276189" w:rsidRPr="004A0DDD">
              <w:rPr>
                <w:rFonts w:asciiTheme="minorHAnsi" w:hAnsiTheme="minorHAnsi"/>
                <w:sz w:val="22"/>
                <w:szCs w:val="22"/>
              </w:rPr>
              <w:t>ed</w:t>
            </w:r>
            <w:r w:rsidR="00A12F59" w:rsidRPr="004A0DDD">
              <w:rPr>
                <w:rFonts w:asciiTheme="minorHAnsi" w:hAnsiTheme="minorHAnsi"/>
                <w:sz w:val="22"/>
                <w:szCs w:val="22"/>
              </w:rPr>
              <w:t xml:space="preserve"> on proper ED utilization rather than admit decision time to ED departure time</w:t>
            </w:r>
            <w:r w:rsidRPr="004A0DDD">
              <w:rPr>
                <w:rFonts w:asciiTheme="minorHAnsi" w:hAnsiTheme="minorHAnsi"/>
                <w:sz w:val="22"/>
                <w:szCs w:val="22"/>
              </w:rPr>
              <w:t>: Southwest Fort Worth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6189" w:rsidRPr="004A0DDD">
              <w:rPr>
                <w:rFonts w:asciiTheme="minorHAnsi" w:hAnsiTheme="minorHAnsi"/>
                <w:sz w:val="22"/>
                <w:szCs w:val="22"/>
              </w:rPr>
              <w:t>(120726804</w:t>
            </w:r>
            <w:r>
              <w:rPr>
                <w:rFonts w:asciiTheme="minorHAnsi" w:hAnsiTheme="minorHAnsi"/>
                <w:sz w:val="22"/>
                <w:szCs w:val="22"/>
              </w:rPr>
              <w:t>);</w:t>
            </w:r>
            <w:r w:rsidRPr="004A0DDD">
              <w:rPr>
                <w:rFonts w:asciiTheme="minorHAnsi" w:hAnsiTheme="minorHAnsi"/>
                <w:sz w:val="22"/>
                <w:szCs w:val="22"/>
              </w:rPr>
              <w:t xml:space="preserve"> Cleburne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4A0DDD">
              <w:rPr>
                <w:rFonts w:asciiTheme="minorHAnsi" w:hAnsiTheme="minorHAnsi"/>
                <w:sz w:val="22"/>
                <w:szCs w:val="22"/>
              </w:rPr>
              <w:t>131036903</w:t>
            </w:r>
            <w:r>
              <w:rPr>
                <w:rFonts w:asciiTheme="minorHAnsi" w:hAnsiTheme="minorHAnsi"/>
                <w:sz w:val="22"/>
                <w:szCs w:val="22"/>
              </w:rPr>
              <w:t>), and Stephenville (</w:t>
            </w:r>
            <w:r w:rsidRPr="00A12F59">
              <w:rPr>
                <w:rFonts w:asciiTheme="minorHAnsi" w:hAnsiTheme="minorHAnsi"/>
                <w:sz w:val="22"/>
                <w:szCs w:val="22"/>
              </w:rPr>
              <w:t>121794503</w:t>
            </w:r>
            <w:r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76189" w:rsidRPr="001F5E5E" w:rsidRDefault="00276189" w:rsidP="00276189">
            <w:pPr>
              <w:pStyle w:val="ListParagraph"/>
              <w:numPr>
                <w:ilvl w:val="0"/>
                <w:numId w:val="7"/>
              </w:numPr>
              <w:ind w:left="1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Wise Regional Health System (</w:t>
            </w:r>
            <w:r w:rsidRPr="00276189">
              <w:rPr>
                <w:rFonts w:asciiTheme="minorHAnsi" w:hAnsiTheme="minorHAnsi"/>
                <w:sz w:val="22"/>
                <w:szCs w:val="22"/>
              </w:rPr>
              <w:t>130606006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did not provide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planned reporting periods or measurement periods for RDs in table. </w:t>
            </w:r>
          </w:p>
        </w:tc>
        <w:tc>
          <w:tcPr>
            <w:tcW w:w="8730" w:type="dxa"/>
          </w:tcPr>
          <w:p w:rsidR="001C1157" w:rsidRDefault="001C1157" w:rsidP="007A3A36"/>
        </w:tc>
      </w:tr>
      <w:tr w:rsidR="00A748E0" w:rsidTr="009105BC">
        <w:trPr>
          <w:trHeight w:val="881"/>
        </w:trPr>
        <w:tc>
          <w:tcPr>
            <w:tcW w:w="922" w:type="dxa"/>
          </w:tcPr>
          <w:p w:rsidR="00A748E0" w:rsidRDefault="00A748E0" w:rsidP="00A01853">
            <w:pPr>
              <w:jc w:val="center"/>
            </w:pPr>
            <w:r>
              <w:lastRenderedPageBreak/>
              <w:t>VI</w:t>
            </w:r>
          </w:p>
        </w:tc>
        <w:tc>
          <w:tcPr>
            <w:tcW w:w="3506" w:type="dxa"/>
          </w:tcPr>
          <w:p w:rsidR="00A748E0" w:rsidRDefault="00F75E15" w:rsidP="00173E8B">
            <w:pPr>
              <w:autoSpaceDE w:val="0"/>
              <w:autoSpaceDN w:val="0"/>
              <w:adjustRightInd w:val="0"/>
            </w:pPr>
            <w:r>
              <w:t>HHSC review verified required</w:t>
            </w:r>
            <w:r w:rsidR="00173E8B">
              <w:t xml:space="preserve"> signatures included in Section V</w:t>
            </w:r>
            <w:r>
              <w:t>I</w:t>
            </w:r>
            <w:r w:rsidR="00173E8B">
              <w:t>.</w:t>
            </w:r>
          </w:p>
        </w:tc>
        <w:tc>
          <w:tcPr>
            <w:tcW w:w="8730" w:type="dxa"/>
          </w:tcPr>
          <w:p w:rsidR="00A748E0" w:rsidRDefault="00A748E0" w:rsidP="007A3A36"/>
        </w:tc>
      </w:tr>
      <w:tr w:rsidR="001C1157" w:rsidTr="009105BC">
        <w:trPr>
          <w:trHeight w:val="665"/>
        </w:trPr>
        <w:tc>
          <w:tcPr>
            <w:tcW w:w="922" w:type="dxa"/>
          </w:tcPr>
          <w:p w:rsidR="001C1157" w:rsidRDefault="001C1157" w:rsidP="00A01853">
            <w:pPr>
              <w:jc w:val="center"/>
            </w:pPr>
            <w:r>
              <w:t>VII</w:t>
            </w:r>
          </w:p>
        </w:tc>
        <w:tc>
          <w:tcPr>
            <w:tcW w:w="3506" w:type="dxa"/>
          </w:tcPr>
          <w:p w:rsidR="001C1157" w:rsidRDefault="00F75E15" w:rsidP="00F75E15">
            <w:pPr>
              <w:autoSpaceDE w:val="0"/>
              <w:autoSpaceDN w:val="0"/>
              <w:adjustRightInd w:val="0"/>
            </w:pPr>
            <w:r>
              <w:t xml:space="preserve">Appropriate </w:t>
            </w:r>
            <w:r w:rsidR="00173E8B">
              <w:t>addendums</w:t>
            </w:r>
            <w:r>
              <w:t xml:space="preserve"> included</w:t>
            </w:r>
            <w:r w:rsidR="00173E8B">
              <w:t xml:space="preserve">. </w:t>
            </w:r>
          </w:p>
        </w:tc>
        <w:tc>
          <w:tcPr>
            <w:tcW w:w="8730" w:type="dxa"/>
          </w:tcPr>
          <w:p w:rsidR="001C1157" w:rsidRDefault="001C1157" w:rsidP="007A3A36"/>
        </w:tc>
      </w:tr>
    </w:tbl>
    <w:p w:rsidR="007A3A36" w:rsidRDefault="007A3A36" w:rsidP="001C1157">
      <w:pPr>
        <w:spacing w:after="0" w:line="240" w:lineRule="auto"/>
      </w:pPr>
    </w:p>
    <w:sectPr w:rsidR="007A3A36" w:rsidSect="001C1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D0D"/>
    <w:multiLevelType w:val="hybridMultilevel"/>
    <w:tmpl w:val="2E9A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4A42"/>
    <w:multiLevelType w:val="multilevel"/>
    <w:tmpl w:val="DA00CABA"/>
    <w:styleLink w:val="Protocol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P-%4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P-%4.%5.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I-%7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lvlText w:val="I-%7.%8."/>
      <w:lvlJc w:val="left"/>
      <w:pPr>
        <w:tabs>
          <w:tab w:val="num" w:pos="2160"/>
        </w:tabs>
        <w:ind w:left="2160" w:hanging="72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8">
      <w:start w:val="1"/>
      <w:numFmt w:val="lowerLetter"/>
      <w:lvlText w:val="%9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>
    <w:nsid w:val="1C3D7AE0"/>
    <w:multiLevelType w:val="hybridMultilevel"/>
    <w:tmpl w:val="A054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56D2B"/>
    <w:multiLevelType w:val="hybridMultilevel"/>
    <w:tmpl w:val="A510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763C3"/>
    <w:multiLevelType w:val="hybridMultilevel"/>
    <w:tmpl w:val="1CA6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17D49"/>
    <w:multiLevelType w:val="hybridMultilevel"/>
    <w:tmpl w:val="56D000E0"/>
    <w:lvl w:ilvl="0" w:tplc="0408EB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3A36"/>
    <w:rsid w:val="000361FB"/>
    <w:rsid w:val="00043228"/>
    <w:rsid w:val="000503E4"/>
    <w:rsid w:val="0005486F"/>
    <w:rsid w:val="00067FF7"/>
    <w:rsid w:val="0008354D"/>
    <w:rsid w:val="000E5EB2"/>
    <w:rsid w:val="00142B17"/>
    <w:rsid w:val="0014325E"/>
    <w:rsid w:val="00173E8B"/>
    <w:rsid w:val="00175F29"/>
    <w:rsid w:val="001962AC"/>
    <w:rsid w:val="001A6201"/>
    <w:rsid w:val="001C1157"/>
    <w:rsid w:val="001F5E5E"/>
    <w:rsid w:val="00227DC6"/>
    <w:rsid w:val="00245D7D"/>
    <w:rsid w:val="00246DF0"/>
    <w:rsid w:val="00247D7D"/>
    <w:rsid w:val="002570E3"/>
    <w:rsid w:val="002625F8"/>
    <w:rsid w:val="00267863"/>
    <w:rsid w:val="00276189"/>
    <w:rsid w:val="00295F33"/>
    <w:rsid w:val="00297E3E"/>
    <w:rsid w:val="002C5346"/>
    <w:rsid w:val="002F0C5C"/>
    <w:rsid w:val="00317C3E"/>
    <w:rsid w:val="00324AD7"/>
    <w:rsid w:val="003357A6"/>
    <w:rsid w:val="0036446E"/>
    <w:rsid w:val="003F3150"/>
    <w:rsid w:val="00455DD5"/>
    <w:rsid w:val="00487D83"/>
    <w:rsid w:val="004A0ACF"/>
    <w:rsid w:val="004A0DDD"/>
    <w:rsid w:val="004A227D"/>
    <w:rsid w:val="004D7B70"/>
    <w:rsid w:val="00531CB7"/>
    <w:rsid w:val="00551683"/>
    <w:rsid w:val="00590095"/>
    <w:rsid w:val="005A016C"/>
    <w:rsid w:val="005A5C75"/>
    <w:rsid w:val="005B5AEB"/>
    <w:rsid w:val="005E0601"/>
    <w:rsid w:val="00611243"/>
    <w:rsid w:val="00615FE9"/>
    <w:rsid w:val="00644AD9"/>
    <w:rsid w:val="00661726"/>
    <w:rsid w:val="006711BC"/>
    <w:rsid w:val="00675A7F"/>
    <w:rsid w:val="006E6F6D"/>
    <w:rsid w:val="00726952"/>
    <w:rsid w:val="0073493C"/>
    <w:rsid w:val="00792899"/>
    <w:rsid w:val="007A3A36"/>
    <w:rsid w:val="007C551D"/>
    <w:rsid w:val="008070AD"/>
    <w:rsid w:val="0081670F"/>
    <w:rsid w:val="00830AE4"/>
    <w:rsid w:val="00845EBA"/>
    <w:rsid w:val="00860F35"/>
    <w:rsid w:val="008A6160"/>
    <w:rsid w:val="008B6966"/>
    <w:rsid w:val="008F2670"/>
    <w:rsid w:val="009105BC"/>
    <w:rsid w:val="00924F6A"/>
    <w:rsid w:val="00926C5B"/>
    <w:rsid w:val="00975845"/>
    <w:rsid w:val="009807DE"/>
    <w:rsid w:val="009A650F"/>
    <w:rsid w:val="009C00C8"/>
    <w:rsid w:val="009C53A7"/>
    <w:rsid w:val="009C5560"/>
    <w:rsid w:val="009D5033"/>
    <w:rsid w:val="00A01853"/>
    <w:rsid w:val="00A07C26"/>
    <w:rsid w:val="00A12F59"/>
    <w:rsid w:val="00A434C7"/>
    <w:rsid w:val="00A748E0"/>
    <w:rsid w:val="00AA265B"/>
    <w:rsid w:val="00AF1DE3"/>
    <w:rsid w:val="00BD75CC"/>
    <w:rsid w:val="00BE2064"/>
    <w:rsid w:val="00C2463E"/>
    <w:rsid w:val="00C25278"/>
    <w:rsid w:val="00C53F4D"/>
    <w:rsid w:val="00C66038"/>
    <w:rsid w:val="00C74106"/>
    <w:rsid w:val="00CD2306"/>
    <w:rsid w:val="00CF362E"/>
    <w:rsid w:val="00D25B65"/>
    <w:rsid w:val="00D35D22"/>
    <w:rsid w:val="00D73B18"/>
    <w:rsid w:val="00D866CF"/>
    <w:rsid w:val="00D9339A"/>
    <w:rsid w:val="00DA4252"/>
    <w:rsid w:val="00DA45B8"/>
    <w:rsid w:val="00E11C90"/>
    <w:rsid w:val="00E1487C"/>
    <w:rsid w:val="00E51552"/>
    <w:rsid w:val="00EA2B3D"/>
    <w:rsid w:val="00EB3FE4"/>
    <w:rsid w:val="00F07782"/>
    <w:rsid w:val="00F72F46"/>
    <w:rsid w:val="00F75E15"/>
    <w:rsid w:val="00FA0D28"/>
    <w:rsid w:val="00FA635F"/>
    <w:rsid w:val="00FC42D6"/>
    <w:rsid w:val="00F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otocol">
    <w:name w:val="Protocol"/>
    <w:uiPriority w:val="99"/>
    <w:rsid w:val="00644AD9"/>
    <w:pPr>
      <w:numPr>
        <w:numId w:val="1"/>
      </w:numPr>
    </w:pPr>
  </w:style>
  <w:style w:type="table" w:styleId="TableGrid">
    <w:name w:val="Table Grid"/>
    <w:basedOn w:val="TableNormal"/>
    <w:uiPriority w:val="59"/>
    <w:rsid w:val="00A4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77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Normal"/>
    <w:uiPriority w:val="99"/>
    <w:rsid w:val="00F07782"/>
    <w:pPr>
      <w:spacing w:before="60" w:after="60" w:line="240" w:lineRule="auto"/>
      <w:ind w:left="360" w:hanging="360"/>
    </w:pPr>
    <w:rPr>
      <w:rFonts w:ascii="Calibri" w:eastAsia="Arial Unicode MS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Human Services Commission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Carisa Magee (HHSC)</dc:creator>
  <cp:keywords/>
  <dc:description/>
  <cp:lastModifiedBy>Carisa Magee (HHSC)</cp:lastModifiedBy>
  <cp:revision>8</cp:revision>
  <cp:lastPrinted>2013-02-25T15:48:00Z</cp:lastPrinted>
  <dcterms:created xsi:type="dcterms:W3CDTF">2013-03-11T17:24:00Z</dcterms:created>
  <dcterms:modified xsi:type="dcterms:W3CDTF">2013-03-11T20:41:00Z</dcterms:modified>
</cp:coreProperties>
</file>