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EC30F7" w:rsidP="00E7243F">
      <w:pPr>
        <w:pStyle w:val="Heading2"/>
        <w:rPr>
          <w:rFonts w:asciiTheme="minorHAnsi" w:hAnsiTheme="minorHAnsi" w:cstheme="minorHAnsi"/>
          <w:szCs w:val="22"/>
        </w:rPr>
      </w:pPr>
      <w:r>
        <w:rPr>
          <w:rFonts w:asciiTheme="minorHAnsi" w:hAnsiTheme="minorHAnsi" w:cstheme="minorHAnsi"/>
          <w:szCs w:val="22"/>
        </w:rPr>
        <w:lastRenderedPageBreak/>
        <w:t>April 17</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B66D63" w:rsidRDefault="004B4CF2"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D21A26" w:rsidRDefault="00021A4A"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Please note that the dates for the </w:t>
            </w:r>
            <w:r w:rsidR="00D21A26" w:rsidRPr="00E101D8">
              <w:rPr>
                <w:rFonts w:asciiTheme="minorHAnsi" w:hAnsiTheme="minorHAnsi" w:cstheme="minorHAnsi"/>
                <w:sz w:val="22"/>
                <w:szCs w:val="22"/>
              </w:rPr>
              <w:t xml:space="preserve">Statewide Learning Collaborative </w:t>
            </w:r>
            <w:r>
              <w:rPr>
                <w:rFonts w:asciiTheme="minorHAnsi" w:hAnsiTheme="minorHAnsi" w:cstheme="minorHAnsi"/>
                <w:sz w:val="22"/>
                <w:szCs w:val="22"/>
              </w:rPr>
              <w:t>have changed to</w:t>
            </w:r>
            <w:r w:rsidR="00D21A26" w:rsidRPr="00E101D8">
              <w:rPr>
                <w:rFonts w:asciiTheme="minorHAnsi" w:hAnsiTheme="minorHAnsi" w:cstheme="minorHAnsi"/>
                <w:sz w:val="22"/>
                <w:szCs w:val="22"/>
              </w:rPr>
              <w:t xml:space="preserve"> August 2</w:t>
            </w:r>
            <w:r>
              <w:rPr>
                <w:rFonts w:asciiTheme="minorHAnsi" w:hAnsiTheme="minorHAnsi" w:cstheme="minorHAnsi"/>
                <w:sz w:val="22"/>
                <w:szCs w:val="22"/>
              </w:rPr>
              <w:t>7</w:t>
            </w:r>
            <w:r w:rsidR="00D21A26" w:rsidRPr="00E101D8">
              <w:rPr>
                <w:rFonts w:asciiTheme="minorHAnsi" w:hAnsiTheme="minorHAnsi" w:cstheme="minorHAnsi"/>
                <w:sz w:val="22"/>
                <w:szCs w:val="22"/>
              </w:rPr>
              <w:t xml:space="preserve"> &amp; 2</w:t>
            </w:r>
            <w:r>
              <w:rPr>
                <w:rFonts w:asciiTheme="minorHAnsi" w:hAnsiTheme="minorHAnsi" w:cstheme="minorHAnsi"/>
                <w:sz w:val="22"/>
                <w:szCs w:val="22"/>
              </w:rPr>
              <w:t>8</w:t>
            </w:r>
            <w:r w:rsidR="00D21A26" w:rsidRPr="00E101D8">
              <w:rPr>
                <w:rFonts w:asciiTheme="minorHAnsi" w:hAnsiTheme="minorHAnsi" w:cstheme="minorHAnsi"/>
                <w:sz w:val="22"/>
                <w:szCs w:val="22"/>
              </w:rPr>
              <w:t>, 2015</w:t>
            </w:r>
            <w:r>
              <w:rPr>
                <w:rFonts w:asciiTheme="minorHAnsi" w:hAnsiTheme="minorHAnsi" w:cstheme="minorHAnsi"/>
                <w:sz w:val="22"/>
                <w:szCs w:val="22"/>
              </w:rPr>
              <w:t>.</w:t>
            </w:r>
          </w:p>
          <w:p w:rsidR="003A489E" w:rsidRPr="00E101D8" w:rsidRDefault="003A489E"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HHSC will attach an updated dra</w:t>
            </w:r>
            <w:r w:rsidR="009F4BB4">
              <w:rPr>
                <w:rFonts w:asciiTheme="minorHAnsi" w:hAnsiTheme="minorHAnsi" w:cstheme="minorHAnsi"/>
                <w:sz w:val="22"/>
                <w:szCs w:val="22"/>
              </w:rPr>
              <w:t>f</w:t>
            </w:r>
            <w:r>
              <w:rPr>
                <w:rFonts w:asciiTheme="minorHAnsi" w:hAnsiTheme="minorHAnsi" w:cstheme="minorHAnsi"/>
                <w:sz w:val="22"/>
                <w:szCs w:val="22"/>
              </w:rPr>
              <w:t>t DSRIP Payment Schedule for DY4-DY5 to today's Anchor Notes.</w:t>
            </w:r>
          </w:p>
          <w:p w:rsidR="006404C2" w:rsidRPr="004B4CF2" w:rsidRDefault="006404C2" w:rsidP="006404C2">
            <w:pPr>
              <w:pStyle w:val="ListParagraph"/>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E101D8"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441150" w:rsidRDefault="00441150" w:rsidP="00F91B9C">
            <w:pPr>
              <w:pStyle w:val="ListParagraph"/>
              <w:numPr>
                <w:ilvl w:val="0"/>
                <w:numId w:val="4"/>
              </w:numPr>
              <w:rPr>
                <w:rFonts w:asciiTheme="minorHAnsi" w:hAnsiTheme="minorHAnsi"/>
                <w:sz w:val="22"/>
                <w:szCs w:val="22"/>
              </w:rPr>
            </w:pPr>
            <w:r>
              <w:rPr>
                <w:rFonts w:asciiTheme="minorHAnsi" w:hAnsiTheme="minorHAnsi"/>
                <w:sz w:val="22"/>
                <w:szCs w:val="22"/>
              </w:rPr>
              <w:t>The recordings of the DSRIP April DY4 reporting webinars held on April 7</w:t>
            </w:r>
            <w:r w:rsidRPr="00441150">
              <w:rPr>
                <w:rFonts w:asciiTheme="minorHAnsi" w:hAnsiTheme="minorHAnsi"/>
                <w:sz w:val="22"/>
                <w:szCs w:val="22"/>
                <w:vertAlign w:val="superscript"/>
              </w:rPr>
              <w:t>th</w:t>
            </w:r>
            <w:r>
              <w:rPr>
                <w:rFonts w:asciiTheme="minorHAnsi" w:hAnsiTheme="minorHAnsi"/>
                <w:sz w:val="22"/>
                <w:szCs w:val="22"/>
              </w:rPr>
              <w:t xml:space="preserve"> will be posted soon on the HHSC website. </w:t>
            </w:r>
          </w:p>
          <w:p w:rsidR="00441150" w:rsidRPr="0045339B" w:rsidRDefault="00441150" w:rsidP="00F91B9C">
            <w:pPr>
              <w:pStyle w:val="ListParagraph"/>
              <w:numPr>
                <w:ilvl w:val="0"/>
                <w:numId w:val="4"/>
              </w:numPr>
              <w:rPr>
                <w:rFonts w:asciiTheme="minorHAnsi" w:hAnsiTheme="minorHAnsi"/>
                <w:sz w:val="22"/>
                <w:szCs w:val="22"/>
              </w:rPr>
            </w:pPr>
            <w:r w:rsidRPr="0045339B">
              <w:rPr>
                <w:rFonts w:asciiTheme="minorHAnsi" w:hAnsiTheme="minorHAnsi"/>
                <w:sz w:val="22"/>
                <w:szCs w:val="22"/>
              </w:rPr>
              <w:t>HHSC posted a current list of projects with QPI issues that affect April DY4 reporting (similar to what was previously shared via email) on the Tools and Guidelines for Regional Healthcare Partnership Participants page</w:t>
            </w:r>
            <w:r>
              <w:rPr>
                <w:rFonts w:asciiTheme="minorHAnsi" w:hAnsiTheme="minorHAnsi"/>
                <w:sz w:val="22"/>
                <w:szCs w:val="22"/>
              </w:rPr>
              <w:t xml:space="preserve"> of the Waiver website</w:t>
            </w:r>
            <w:r w:rsidRPr="0045339B">
              <w:rPr>
                <w:rFonts w:asciiTheme="minorHAnsi" w:hAnsiTheme="minorHAnsi"/>
                <w:sz w:val="22"/>
                <w:szCs w:val="22"/>
              </w:rPr>
              <w:t>. Providers reporting QPI metrics for achievement during April DY4 should check this l</w:t>
            </w:r>
            <w:r>
              <w:rPr>
                <w:rFonts w:asciiTheme="minorHAnsi" w:hAnsiTheme="minorHAnsi"/>
                <w:sz w:val="22"/>
                <w:szCs w:val="22"/>
              </w:rPr>
              <w:t>ist prior to doing so.</w:t>
            </w:r>
          </w:p>
          <w:p w:rsidR="00441150" w:rsidRDefault="00441150" w:rsidP="00F91B9C">
            <w:pPr>
              <w:pStyle w:val="ListParagraph"/>
              <w:numPr>
                <w:ilvl w:val="0"/>
                <w:numId w:val="4"/>
              </w:numPr>
              <w:rPr>
                <w:rFonts w:asciiTheme="minorHAnsi" w:hAnsiTheme="minorHAnsi"/>
                <w:sz w:val="22"/>
                <w:szCs w:val="22"/>
              </w:rPr>
            </w:pPr>
            <w:r w:rsidRPr="001726DC">
              <w:rPr>
                <w:rFonts w:asciiTheme="minorHAnsi" w:hAnsiTheme="minorHAnsi"/>
                <w:sz w:val="22"/>
                <w:szCs w:val="22"/>
              </w:rPr>
              <w:t xml:space="preserve">HHSC posted a revised DY4 QPI Reporting Template on the Tools and Guidelines for Regional Healthcare Partnership Participants page of the Waiver website. Projects with a template delay (listed in the </w:t>
            </w:r>
            <w:r>
              <w:rPr>
                <w:rFonts w:asciiTheme="minorHAnsi" w:hAnsiTheme="minorHAnsi"/>
                <w:sz w:val="22"/>
                <w:szCs w:val="22"/>
              </w:rPr>
              <w:t>l</w:t>
            </w:r>
            <w:r w:rsidRPr="001726DC">
              <w:rPr>
                <w:rFonts w:asciiTheme="minorHAnsi" w:hAnsiTheme="minorHAnsi"/>
                <w:sz w:val="22"/>
                <w:szCs w:val="22"/>
              </w:rPr>
              <w:t>ist of projects with QPI issues document) may report using this version of the template.</w:t>
            </w:r>
            <w:r>
              <w:rPr>
                <w:rFonts w:asciiTheme="minorHAnsi" w:hAnsiTheme="minorHAnsi"/>
                <w:sz w:val="22"/>
                <w:szCs w:val="22"/>
              </w:rPr>
              <w:t xml:space="preserve"> Providers with projects that did not have a template delay may continue to use the DY4 QPI Template posted prior to the update, if they already began using it. </w:t>
            </w:r>
          </w:p>
          <w:p w:rsidR="00441150" w:rsidRPr="00FD0167" w:rsidRDefault="00441150" w:rsidP="00F91B9C">
            <w:pPr>
              <w:pStyle w:val="ListParagraph"/>
              <w:numPr>
                <w:ilvl w:val="0"/>
                <w:numId w:val="4"/>
              </w:numPr>
              <w:rPr>
                <w:rFonts w:asciiTheme="minorHAnsi" w:hAnsiTheme="minorHAnsi"/>
                <w:sz w:val="22"/>
                <w:szCs w:val="22"/>
              </w:rPr>
            </w:pPr>
            <w:r w:rsidRPr="00FD0167">
              <w:rPr>
                <w:rFonts w:asciiTheme="minorHAnsi" w:hAnsiTheme="minorHAnsi"/>
                <w:sz w:val="22"/>
                <w:szCs w:val="22"/>
              </w:rPr>
              <w:t xml:space="preserve">We are prioritizing Waiver mailbox questions to first address issues that impact the ability to report during April DY4 reporting. </w:t>
            </w:r>
            <w:r>
              <w:rPr>
                <w:rFonts w:asciiTheme="minorHAnsi" w:hAnsiTheme="minorHAnsi"/>
                <w:sz w:val="22"/>
                <w:szCs w:val="22"/>
              </w:rPr>
              <w:t>HHSC will continue to respond to questions regarding QPI metrics that will be reported in October DY4 or later and to provide technical assistance to providers with outstanding QPI issues, but guidance on these may be delayed</w:t>
            </w:r>
            <w:r w:rsidRPr="00FD0167">
              <w:rPr>
                <w:rFonts w:asciiTheme="minorHAnsi" w:hAnsiTheme="minorHAnsi"/>
                <w:sz w:val="22"/>
                <w:szCs w:val="22"/>
              </w:rPr>
              <w:t xml:space="preserve">. </w:t>
            </w:r>
            <w:r>
              <w:rPr>
                <w:rFonts w:asciiTheme="minorHAnsi" w:hAnsiTheme="minorHAnsi"/>
                <w:sz w:val="22"/>
                <w:szCs w:val="22"/>
              </w:rPr>
              <w:t>When submitting a QPI question to the mailbox, please let us know if you intend to report the metric for achievement during April DY4 reporting. Also, please remember to include both your RHP and project ID numbers with your question.</w:t>
            </w:r>
          </w:p>
          <w:p w:rsidR="00441150" w:rsidRDefault="00441150"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FE036E" w:rsidRDefault="00FE036E" w:rsidP="00F91B9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 </w:t>
            </w:r>
            <w:r w:rsidR="00374869">
              <w:rPr>
                <w:rFonts w:asciiTheme="minorHAnsi" w:hAnsiTheme="minorHAnsi" w:cstheme="minorHAnsi"/>
                <w:sz w:val="22"/>
                <w:szCs w:val="22"/>
              </w:rPr>
              <w:t xml:space="preserve">HHSC has received a small volume of technical assistance requests specific to reporting Category 3 outcomes in April DY4 and is addressing these questions as they are received.  </w:t>
            </w:r>
          </w:p>
          <w:p w:rsidR="00374869" w:rsidRDefault="00374869" w:rsidP="00F91B9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Please encourage your providers to use available resources posted to the Waiver website (i.e., template instructions, companion documents, </w:t>
            </w:r>
            <w:proofErr w:type="gramStart"/>
            <w:r>
              <w:rPr>
                <w:rFonts w:asciiTheme="minorHAnsi" w:hAnsiTheme="minorHAnsi" w:cstheme="minorHAnsi"/>
                <w:sz w:val="22"/>
                <w:szCs w:val="22"/>
              </w:rPr>
              <w:t>webinars</w:t>
            </w:r>
            <w:proofErr w:type="gramEnd"/>
            <w:r>
              <w:rPr>
                <w:rFonts w:asciiTheme="minorHAnsi" w:hAnsiTheme="minorHAnsi" w:cstheme="minorHAnsi"/>
                <w:sz w:val="22"/>
                <w:szCs w:val="22"/>
              </w:rPr>
              <w:t xml:space="preserve"> / slide decks) and to continue to work directly with </w:t>
            </w:r>
            <w:r w:rsidR="00441150">
              <w:rPr>
                <w:rFonts w:asciiTheme="minorHAnsi" w:hAnsiTheme="minorHAnsi" w:cstheme="minorHAnsi"/>
                <w:sz w:val="22"/>
                <w:szCs w:val="22"/>
              </w:rPr>
              <w:t>A</w:t>
            </w:r>
            <w:r>
              <w:rPr>
                <w:rFonts w:asciiTheme="minorHAnsi" w:hAnsiTheme="minorHAnsi" w:cstheme="minorHAnsi"/>
                <w:sz w:val="22"/>
                <w:szCs w:val="22"/>
              </w:rPr>
              <w:t xml:space="preserve">nchors to resolve concerns when possible.  As needed, please continue to send issues that require HHSC action to resolve to the Waiver mailbox. </w:t>
            </w:r>
          </w:p>
          <w:p w:rsidR="00E127E0" w:rsidRDefault="00E127E0" w:rsidP="00F91B9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As always, we are prioritizing TA request</w:t>
            </w:r>
            <w:r w:rsidR="00A978F1">
              <w:rPr>
                <w:rFonts w:asciiTheme="minorHAnsi" w:hAnsiTheme="minorHAnsi" w:cstheme="minorHAnsi"/>
                <w:sz w:val="22"/>
                <w:szCs w:val="22"/>
              </w:rPr>
              <w:t>s</w:t>
            </w:r>
            <w:r>
              <w:rPr>
                <w:rFonts w:asciiTheme="minorHAnsi" w:hAnsiTheme="minorHAnsi" w:cstheme="minorHAnsi"/>
                <w:sz w:val="22"/>
                <w:szCs w:val="22"/>
              </w:rPr>
              <w:t xml:space="preserve"> to quickly address questions and concerns related to April reporting</w:t>
            </w:r>
            <w:r w:rsidR="00A978F1">
              <w:rPr>
                <w:rFonts w:asciiTheme="minorHAnsi" w:hAnsiTheme="minorHAnsi" w:cstheme="minorHAnsi"/>
                <w:sz w:val="22"/>
                <w:szCs w:val="22"/>
              </w:rPr>
              <w:t xml:space="preserve"> first</w:t>
            </w:r>
            <w:r>
              <w:rPr>
                <w:rFonts w:asciiTheme="minorHAnsi" w:hAnsiTheme="minorHAnsi" w:cstheme="minorHAnsi"/>
                <w:sz w:val="22"/>
                <w:szCs w:val="22"/>
              </w:rPr>
              <w:t xml:space="preserve">. </w:t>
            </w:r>
          </w:p>
          <w:p w:rsidR="00E127E0" w:rsidRPr="003C794F" w:rsidRDefault="00E127E0" w:rsidP="00F91B9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After the April reporting period closes to providers, HHSC staff will continue to work with providers to resolve outstanding baseline TA flags. </w:t>
            </w:r>
          </w:p>
          <w:p w:rsidR="007B4DF1" w:rsidRDefault="007B4DF1" w:rsidP="007B4DF1">
            <w:pPr>
              <w:rPr>
                <w:rFonts w:asciiTheme="minorHAnsi" w:hAnsiTheme="minorHAnsi" w:cstheme="minorHAnsi"/>
                <w:b/>
                <w:sz w:val="22"/>
                <w:szCs w:val="22"/>
              </w:rPr>
            </w:pPr>
          </w:p>
          <w:p w:rsidR="007B4DF1" w:rsidRPr="008304EC" w:rsidRDefault="007B4DF1" w:rsidP="007B4DF1">
            <w:pPr>
              <w:rPr>
                <w:rFonts w:asciiTheme="minorHAnsi" w:hAnsiTheme="minorHAnsi" w:cstheme="minorHAnsi"/>
                <w:b/>
                <w:sz w:val="22"/>
                <w:szCs w:val="22"/>
              </w:rPr>
            </w:pPr>
            <w:r>
              <w:rPr>
                <w:rFonts w:asciiTheme="minorHAnsi" w:hAnsiTheme="minorHAnsi" w:cstheme="minorHAnsi"/>
                <w:b/>
                <w:sz w:val="22"/>
                <w:szCs w:val="22"/>
              </w:rPr>
              <w:t>Category 4</w:t>
            </w:r>
            <w:r w:rsidRPr="008304EC">
              <w:rPr>
                <w:rFonts w:asciiTheme="minorHAnsi" w:hAnsiTheme="minorHAnsi" w:cstheme="minorHAnsi"/>
                <w:b/>
                <w:sz w:val="22"/>
                <w:szCs w:val="22"/>
              </w:rPr>
              <w:t xml:space="preserve"> </w:t>
            </w:r>
          </w:p>
          <w:p w:rsidR="007B4DF1" w:rsidRPr="00A551D4" w:rsidRDefault="007B4DF1" w:rsidP="00F91B9C">
            <w:pPr>
              <w:pStyle w:val="ListParagraph"/>
              <w:numPr>
                <w:ilvl w:val="0"/>
                <w:numId w:val="4"/>
              </w:numPr>
              <w:rPr>
                <w:rFonts w:asciiTheme="minorHAnsi" w:hAnsiTheme="minorHAnsi" w:cstheme="minorHAnsi"/>
                <w:sz w:val="22"/>
                <w:szCs w:val="22"/>
              </w:rPr>
            </w:pPr>
            <w:r w:rsidRPr="00A551D4">
              <w:rPr>
                <w:rFonts w:asciiTheme="minorHAnsi" w:hAnsiTheme="minorHAnsi"/>
                <w:sz w:val="22"/>
                <w:szCs w:val="22"/>
              </w:rPr>
              <w:t xml:space="preserve">Last Friday, HHSC updated the Category 4 April DY4 reporting template posted on the waiver website. The new template makes minor updates in the language for the qualitative questions for </w:t>
            </w:r>
            <w:r w:rsidRPr="00A551D4">
              <w:rPr>
                <w:rFonts w:asciiTheme="minorHAnsi" w:hAnsiTheme="minorHAnsi"/>
                <w:sz w:val="22"/>
                <w:szCs w:val="22"/>
              </w:rPr>
              <w:lastRenderedPageBreak/>
              <w:t>RDs 3 &amp; 5. Anchors have already received a detailed explanation of these changes. Providers may submit the original version of the Cat 4 DY4 template if needed, while responding to the revised qualitative questions.</w:t>
            </w:r>
            <w:r w:rsidR="00ED658C" w:rsidRPr="00A551D4">
              <w:rPr>
                <w:rFonts w:asciiTheme="minorHAnsi" w:hAnsiTheme="minorHAnsi"/>
                <w:sz w:val="22"/>
                <w:szCs w:val="22"/>
              </w:rPr>
              <w:t xml:space="preserve"> </w:t>
            </w:r>
          </w:p>
          <w:p w:rsidR="00F91B9C" w:rsidRDefault="00F91B9C" w:rsidP="00F91B9C">
            <w:pPr>
              <w:pStyle w:val="ListParagraph"/>
              <w:numPr>
                <w:ilvl w:val="0"/>
                <w:numId w:val="4"/>
              </w:numPr>
              <w:rPr>
                <w:rFonts w:ascii="Calibri" w:hAnsi="Calibri"/>
                <w:sz w:val="22"/>
                <w:szCs w:val="22"/>
              </w:rPr>
            </w:pPr>
            <w:r>
              <w:rPr>
                <w:rFonts w:ascii="Calibri" w:hAnsi="Calibri"/>
                <w:sz w:val="22"/>
                <w:szCs w:val="22"/>
              </w:rPr>
              <w:t>On April 3</w:t>
            </w:r>
            <w:r>
              <w:rPr>
                <w:rFonts w:ascii="Calibri" w:hAnsi="Calibri"/>
                <w:sz w:val="22"/>
                <w:szCs w:val="22"/>
                <w:vertAlign w:val="superscript"/>
              </w:rPr>
              <w:t>rd</w:t>
            </w:r>
            <w:r>
              <w:rPr>
                <w:rFonts w:ascii="Calibri" w:hAnsi="Calibri"/>
                <w:sz w:val="22"/>
                <w:szCs w:val="22"/>
              </w:rPr>
              <w:t>, HHSC sent PPE reports for CY2013 to UC and DSRIP Category 4 participants for DY 4 reporting. Technical notes for CY2013 PPA, PPR, and PPC reports have been posted to the waiver website under resources for DY4 reporting. We understand updates made to the 2013 PPA and PPR reports make direct comparisons between the two reporting periods challenging, and are currently preparing additional guidance on qualitative responses for the Category 4 DY4 Reporting Template.</w:t>
            </w:r>
          </w:p>
          <w:p w:rsidR="007B4DF1" w:rsidRPr="00441150" w:rsidRDefault="007B4DF1" w:rsidP="007B4DF1">
            <w:pPr>
              <w:pStyle w:val="ListParagraph"/>
              <w:rPr>
                <w:rFonts w:asciiTheme="minorHAnsi" w:hAnsiTheme="minorHAnsi" w:cstheme="minorHAnsi"/>
                <w:sz w:val="22"/>
                <w:szCs w:val="22"/>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Change Request Process (Plan Modification Requests and Technical Change Requests)</w:t>
            </w:r>
          </w:p>
          <w:p w:rsidR="004B4CF2" w:rsidRPr="003A489E" w:rsidRDefault="00367394" w:rsidP="00F91B9C">
            <w:pPr>
              <w:pStyle w:val="ListParagraph"/>
              <w:numPr>
                <w:ilvl w:val="0"/>
                <w:numId w:val="4"/>
              </w:numPr>
              <w:rPr>
                <w:rFonts w:asciiTheme="minorHAnsi" w:hAnsiTheme="minorHAnsi"/>
                <w:sz w:val="22"/>
                <w:szCs w:val="22"/>
              </w:rPr>
            </w:pPr>
            <w:r>
              <w:rPr>
                <w:rFonts w:asciiTheme="minorHAnsi" w:hAnsiTheme="minorHAnsi"/>
                <w:sz w:val="22"/>
                <w:szCs w:val="22"/>
              </w:rPr>
              <w:t>In June, HHSC will provide an opportunity for 3-year projects to submit change requests for DY5 only.  Additional information will be forthcoming.</w:t>
            </w:r>
          </w:p>
          <w:p w:rsidR="003A489E" w:rsidRDefault="003A489E" w:rsidP="004B4CF2">
            <w:pPr>
              <w:rPr>
                <w:rFonts w:asciiTheme="minorHAnsi" w:hAnsiTheme="minorHAnsi"/>
                <w:b/>
                <w:sz w:val="22"/>
                <w:szCs w:val="22"/>
              </w:rPr>
            </w:pPr>
          </w:p>
          <w:p w:rsidR="004B4CF2" w:rsidRPr="00C05A69" w:rsidRDefault="004B4CF2" w:rsidP="004B4CF2">
            <w:pPr>
              <w:rPr>
                <w:rFonts w:asciiTheme="minorHAnsi" w:hAnsiTheme="minorHAnsi"/>
                <w:b/>
                <w:sz w:val="22"/>
                <w:szCs w:val="22"/>
              </w:rPr>
            </w:pPr>
            <w:r w:rsidRPr="00C05A69">
              <w:rPr>
                <w:rFonts w:asciiTheme="minorHAnsi" w:hAnsiTheme="minorHAnsi"/>
                <w:b/>
                <w:sz w:val="22"/>
                <w:szCs w:val="22"/>
              </w:rPr>
              <w:t>Anchor Administrative Costs</w:t>
            </w:r>
          </w:p>
          <w:p w:rsidR="001C6CB0" w:rsidRDefault="00EC29FD" w:rsidP="00F91B9C">
            <w:pPr>
              <w:pStyle w:val="ListParagraph"/>
              <w:numPr>
                <w:ilvl w:val="0"/>
                <w:numId w:val="4"/>
              </w:numPr>
              <w:tabs>
                <w:tab w:val="left" w:pos="0"/>
              </w:tabs>
              <w:rPr>
                <w:rFonts w:asciiTheme="minorHAnsi" w:hAnsiTheme="minorHAnsi" w:cstheme="minorHAnsi"/>
                <w:sz w:val="22"/>
                <w:szCs w:val="22"/>
              </w:rPr>
            </w:pPr>
            <w:r w:rsidRPr="00E101D8">
              <w:rPr>
                <w:rFonts w:asciiTheme="minorHAnsi" w:hAnsiTheme="minorHAnsi" w:cstheme="minorHAnsi"/>
                <w:sz w:val="22"/>
                <w:szCs w:val="22"/>
              </w:rPr>
              <w:t xml:space="preserve">Anchors will have the opportunity to report costs and receive payment for administrative costs two times a year.  The next submission date is May 15, 2015.  </w:t>
            </w:r>
          </w:p>
          <w:p w:rsidR="001C6CB0" w:rsidRDefault="001C6CB0" w:rsidP="00F91B9C">
            <w:pPr>
              <w:pStyle w:val="ListParagraph"/>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The last opportunity to submit costs for DY2 will be the May 15, 2015 submission.</w:t>
            </w:r>
          </w:p>
          <w:p w:rsidR="00021A4A" w:rsidRDefault="003A489E" w:rsidP="00F91B9C">
            <w:pPr>
              <w:pStyle w:val="ListParagraph"/>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HHSC will be emailing a revised Cost Template spreadsheet to Anchors next week and posting it on the waiver website. There are no major changes to the template used during the last reporting period, but the changes will assist in HHSC's review of the Cost Template and the Percent-of-Effort spreadsheet.</w:t>
            </w:r>
          </w:p>
          <w:p w:rsidR="00C05A69" w:rsidRPr="00E101D8" w:rsidRDefault="00021A4A" w:rsidP="00F91B9C">
            <w:pPr>
              <w:pStyle w:val="ListParagraph"/>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 xml:space="preserve">The tentative admin payment calendar for DYs 4 and 5 </w:t>
            </w:r>
            <w:r w:rsidR="003A489E">
              <w:rPr>
                <w:rFonts w:asciiTheme="minorHAnsi" w:hAnsiTheme="minorHAnsi" w:cstheme="minorHAnsi"/>
                <w:sz w:val="22"/>
                <w:szCs w:val="22"/>
              </w:rPr>
              <w:t>has</w:t>
            </w:r>
            <w:r>
              <w:rPr>
                <w:rFonts w:asciiTheme="minorHAnsi" w:hAnsiTheme="minorHAnsi" w:cstheme="minorHAnsi"/>
                <w:sz w:val="22"/>
                <w:szCs w:val="22"/>
              </w:rPr>
              <w:t xml:space="preserve"> been updated below (changes highlighted): </w:t>
            </w:r>
          </w:p>
          <w:p w:rsidR="00EC29FD" w:rsidRDefault="00EC29FD" w:rsidP="00EC29FD">
            <w:pPr>
              <w:rPr>
                <w:color w:val="1F497D"/>
              </w:rPr>
            </w:pPr>
          </w:p>
          <w:tbl>
            <w:tblPr>
              <w:tblW w:w="6405" w:type="dxa"/>
              <w:tblInd w:w="1555" w:type="dxa"/>
              <w:tblLayout w:type="fixed"/>
              <w:tblCellMar>
                <w:left w:w="0" w:type="dxa"/>
                <w:right w:w="0" w:type="dxa"/>
              </w:tblCellMar>
              <w:tblLook w:val="04A0" w:firstRow="1" w:lastRow="0" w:firstColumn="1" w:lastColumn="0" w:noHBand="0" w:noVBand="1"/>
            </w:tblPr>
            <w:tblGrid>
              <w:gridCol w:w="534"/>
              <w:gridCol w:w="3820"/>
              <w:gridCol w:w="2051"/>
            </w:tblGrid>
            <w:tr w:rsidR="00EC29FD" w:rsidTr="00D82988">
              <w:trPr>
                <w:trHeight w:val="336"/>
              </w:trPr>
              <w:tc>
                <w:tcPr>
                  <w:tcW w:w="534" w:type="dxa"/>
                  <w:tcBorders>
                    <w:top w:val="single" w:sz="12" w:space="0" w:color="auto"/>
                    <w:left w:val="single" w:sz="12" w:space="0" w:color="auto"/>
                    <w:bottom w:val="nil"/>
                    <w:right w:val="nil"/>
                  </w:tcBorders>
                  <w:shd w:val="clear" w:color="auto" w:fill="99CCFF"/>
                  <w:tcMar>
                    <w:top w:w="0" w:type="dxa"/>
                    <w:left w:w="108" w:type="dxa"/>
                    <w:bottom w:w="0" w:type="dxa"/>
                    <w:right w:w="108" w:type="dxa"/>
                  </w:tcMar>
                  <w:vAlign w:val="bottom"/>
                  <w:hideMark/>
                </w:tcPr>
                <w:p w:rsidR="00EC29FD" w:rsidRDefault="00EC29FD" w:rsidP="00441150">
                  <w:pPr>
                    <w:framePr w:hSpace="180" w:wrap="around" w:vAnchor="text" w:hAnchor="text" w:y="1"/>
                    <w:suppressOverlap/>
                    <w:rPr>
                      <w:rFonts w:ascii="Arial" w:eastAsiaTheme="minorHAnsi" w:hAnsi="Arial" w:cs="Arial"/>
                      <w:color w:val="000000"/>
                      <w:szCs w:val="20"/>
                    </w:rPr>
                  </w:pPr>
                  <w:r>
                    <w:rPr>
                      <w:rFonts w:ascii="Arial" w:hAnsi="Arial" w:cs="Arial"/>
                      <w:color w:val="000000"/>
                      <w:szCs w:val="20"/>
                    </w:rPr>
                    <w:t> </w:t>
                  </w:r>
                </w:p>
              </w:tc>
              <w:tc>
                <w:tcPr>
                  <w:tcW w:w="5871" w:type="dxa"/>
                  <w:gridSpan w:val="2"/>
                  <w:tcBorders>
                    <w:top w:val="single" w:sz="12" w:space="0" w:color="auto"/>
                    <w:left w:val="nil"/>
                    <w:bottom w:val="nil"/>
                    <w:right w:val="single" w:sz="12" w:space="0" w:color="000000"/>
                  </w:tcBorders>
                  <w:shd w:val="clear" w:color="auto" w:fill="99CCFF"/>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bCs/>
                      <w:szCs w:val="20"/>
                    </w:rPr>
                  </w:pPr>
                  <w:r w:rsidRPr="006E4451">
                    <w:rPr>
                      <w:bCs/>
                      <w:szCs w:val="20"/>
                    </w:rPr>
                    <w:t>TENTATIVE DSRIP ADMIN PAYMENT CALENDAR</w:t>
                  </w:r>
                </w:p>
              </w:tc>
            </w:tr>
            <w:tr w:rsidR="00EC29FD" w:rsidTr="00D82988">
              <w:trPr>
                <w:trHeight w:val="312"/>
              </w:trPr>
              <w:tc>
                <w:tcPr>
                  <w:tcW w:w="534" w:type="dxa"/>
                  <w:tcBorders>
                    <w:top w:val="nil"/>
                    <w:left w:val="single" w:sz="12" w:space="0" w:color="auto"/>
                    <w:bottom w:val="nil"/>
                    <w:right w:val="nil"/>
                  </w:tcBorders>
                  <w:shd w:val="clear" w:color="auto" w:fill="99CCFF"/>
                  <w:tcMar>
                    <w:top w:w="0" w:type="dxa"/>
                    <w:left w:w="108" w:type="dxa"/>
                    <w:bottom w:w="0" w:type="dxa"/>
                    <w:right w:w="108" w:type="dxa"/>
                  </w:tcMar>
                  <w:vAlign w:val="bottom"/>
                  <w:hideMark/>
                </w:tcPr>
                <w:p w:rsidR="00EC29FD" w:rsidRDefault="00EC29FD" w:rsidP="00441150">
                  <w:pPr>
                    <w:framePr w:hSpace="180" w:wrap="around" w:vAnchor="text" w:hAnchor="text" w:y="1"/>
                    <w:suppressOverlap/>
                    <w:rPr>
                      <w:rFonts w:ascii="Arial" w:eastAsiaTheme="minorHAnsi" w:hAnsi="Arial" w:cs="Arial"/>
                      <w:color w:val="000000"/>
                      <w:szCs w:val="20"/>
                    </w:rPr>
                  </w:pPr>
                  <w:r>
                    <w:rPr>
                      <w:rFonts w:ascii="Arial" w:hAnsi="Arial" w:cs="Arial"/>
                      <w:color w:val="000000"/>
                      <w:szCs w:val="20"/>
                    </w:rPr>
                    <w:t> </w:t>
                  </w:r>
                </w:p>
              </w:tc>
              <w:tc>
                <w:tcPr>
                  <w:tcW w:w="3820" w:type="dxa"/>
                  <w:tcBorders>
                    <w:top w:val="single" w:sz="8" w:space="0" w:color="auto"/>
                    <w:left w:val="single" w:sz="8" w:space="0" w:color="auto"/>
                    <w:bottom w:val="single" w:sz="8" w:space="0" w:color="auto"/>
                    <w:right w:val="single" w:sz="8" w:space="0" w:color="auto"/>
                  </w:tcBorders>
                  <w:shd w:val="clear" w:color="auto" w:fill="333333"/>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bCs/>
                      <w:color w:val="FFFFFF"/>
                      <w:szCs w:val="20"/>
                    </w:rPr>
                  </w:pPr>
                  <w:r w:rsidRPr="006E4451">
                    <w:rPr>
                      <w:bCs/>
                      <w:color w:val="FFFFFF"/>
                      <w:szCs w:val="20"/>
                    </w:rPr>
                    <w:t>EVENT</w:t>
                  </w:r>
                </w:p>
              </w:tc>
              <w:tc>
                <w:tcPr>
                  <w:tcW w:w="2051" w:type="dxa"/>
                  <w:tcBorders>
                    <w:top w:val="single" w:sz="8" w:space="0" w:color="auto"/>
                    <w:left w:val="nil"/>
                    <w:bottom w:val="single" w:sz="8" w:space="0" w:color="auto"/>
                    <w:right w:val="single" w:sz="12" w:space="0" w:color="auto"/>
                  </w:tcBorders>
                  <w:shd w:val="clear" w:color="auto" w:fill="333333"/>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bCs/>
                      <w:color w:val="FFFFFF"/>
                      <w:szCs w:val="20"/>
                    </w:rPr>
                  </w:pPr>
                  <w:r w:rsidRPr="006E4451">
                    <w:rPr>
                      <w:bCs/>
                      <w:color w:val="FFFFFF"/>
                      <w:szCs w:val="20"/>
                    </w:rPr>
                    <w:t>DATE</w:t>
                  </w:r>
                </w:p>
              </w:tc>
            </w:tr>
            <w:tr w:rsidR="00EC29FD" w:rsidTr="00D82988">
              <w:trPr>
                <w:trHeight w:val="288"/>
              </w:trPr>
              <w:tc>
                <w:tcPr>
                  <w:tcW w:w="534" w:type="dxa"/>
                  <w:vMerge w:val="restart"/>
                  <w:tcBorders>
                    <w:top w:val="nil"/>
                    <w:left w:val="single" w:sz="12" w:space="0" w:color="auto"/>
                    <w:bottom w:val="single" w:sz="8" w:space="0" w:color="000000"/>
                    <w:right w:val="single" w:sz="8" w:space="0" w:color="auto"/>
                  </w:tcBorders>
                  <w:shd w:val="clear" w:color="auto" w:fill="99CCFF"/>
                  <w:tcMar>
                    <w:top w:w="0" w:type="dxa"/>
                    <w:left w:w="108" w:type="dxa"/>
                    <w:bottom w:w="0" w:type="dxa"/>
                    <w:right w:w="108" w:type="dxa"/>
                  </w:tcMar>
                  <w:textDirection w:val="btLr"/>
                  <w:vAlign w:val="center"/>
                  <w:hideMark/>
                </w:tcPr>
                <w:p w:rsidR="00EC29FD" w:rsidRPr="006E4451" w:rsidRDefault="00EC29FD" w:rsidP="00441150">
                  <w:pPr>
                    <w:framePr w:hSpace="180" w:wrap="around" w:vAnchor="text" w:hAnchor="text" w:y="1"/>
                    <w:suppressOverlap/>
                    <w:jc w:val="center"/>
                    <w:rPr>
                      <w:rFonts w:ascii="Calibri" w:eastAsiaTheme="minorHAnsi" w:hAnsi="Calibri"/>
                      <w:b/>
                      <w:bCs/>
                      <w:szCs w:val="20"/>
                    </w:rPr>
                  </w:pPr>
                  <w:r w:rsidRPr="006E4451">
                    <w:rPr>
                      <w:b/>
                      <w:bCs/>
                      <w:szCs w:val="20"/>
                    </w:rPr>
                    <w:t>DY4</w:t>
                  </w:r>
                </w:p>
              </w:tc>
              <w:tc>
                <w:tcPr>
                  <w:tcW w:w="3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29FD" w:rsidRPr="006E4451" w:rsidRDefault="008F1DB7" w:rsidP="00441150">
                  <w:pPr>
                    <w:framePr w:hSpace="180" w:wrap="around" w:vAnchor="text" w:hAnchor="text" w:y="1"/>
                    <w:suppressOverlap/>
                    <w:rPr>
                      <w:rFonts w:ascii="Calibri" w:eastAsiaTheme="minorHAnsi" w:hAnsi="Calibri"/>
                      <w:sz w:val="18"/>
                      <w:szCs w:val="18"/>
                    </w:rPr>
                  </w:pPr>
                  <w:r w:rsidRPr="006E4451">
                    <w:rPr>
                      <w:sz w:val="18"/>
                      <w:szCs w:val="18"/>
                    </w:rPr>
                    <w:t>Submissions</w:t>
                  </w:r>
                  <w:r w:rsidR="00EC29FD" w:rsidRPr="006E4451">
                    <w:rPr>
                      <w:sz w:val="18"/>
                      <w:szCs w:val="18"/>
                    </w:rPr>
                    <w:t xml:space="preserve">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May 15, 2015</w:t>
                  </w:r>
                </w:p>
              </w:tc>
            </w:tr>
            <w:tr w:rsidR="00EC29FD" w:rsidTr="00D82988">
              <w:trPr>
                <w:trHeight w:val="288"/>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IGT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 xml:space="preserve">July </w:t>
                  </w:r>
                  <w:r w:rsidR="00AF4E25" w:rsidRPr="006E4451">
                    <w:rPr>
                      <w:sz w:val="18"/>
                      <w:szCs w:val="18"/>
                    </w:rPr>
                    <w:t>24</w:t>
                  </w:r>
                  <w:r w:rsidRPr="006E4451">
                    <w:rPr>
                      <w:sz w:val="18"/>
                      <w:szCs w:val="18"/>
                    </w:rPr>
                    <w:t>, 2015</w:t>
                  </w:r>
                </w:p>
              </w:tc>
            </w:tr>
            <w:tr w:rsidR="00EC29FD" w:rsidTr="00D82988">
              <w:trPr>
                <w:trHeight w:val="300"/>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Payment</w:t>
                  </w:r>
                </w:p>
              </w:tc>
              <w:tc>
                <w:tcPr>
                  <w:tcW w:w="2051"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August 14, 2015</w:t>
                  </w:r>
                </w:p>
              </w:tc>
            </w:tr>
            <w:tr w:rsidR="00EC29FD" w:rsidTr="00D82988">
              <w:trPr>
                <w:trHeight w:val="288"/>
              </w:trPr>
              <w:tc>
                <w:tcPr>
                  <w:tcW w:w="534" w:type="dxa"/>
                  <w:vMerge w:val="restart"/>
                  <w:tcBorders>
                    <w:top w:val="nil"/>
                    <w:left w:val="single" w:sz="12" w:space="0" w:color="auto"/>
                    <w:bottom w:val="single" w:sz="8" w:space="0" w:color="000000"/>
                    <w:right w:val="single" w:sz="8" w:space="0" w:color="auto"/>
                  </w:tcBorders>
                  <w:shd w:val="clear" w:color="auto" w:fill="99CCFF"/>
                  <w:tcMar>
                    <w:top w:w="0" w:type="dxa"/>
                    <w:left w:w="108" w:type="dxa"/>
                    <w:bottom w:w="0" w:type="dxa"/>
                    <w:right w:w="108" w:type="dxa"/>
                  </w:tcMar>
                  <w:textDirection w:val="btLr"/>
                  <w:vAlign w:val="center"/>
                  <w:hideMark/>
                </w:tcPr>
                <w:p w:rsidR="00EC29FD" w:rsidRPr="006E4451" w:rsidRDefault="00EC29FD" w:rsidP="00441150">
                  <w:pPr>
                    <w:framePr w:hSpace="180" w:wrap="around" w:vAnchor="text" w:hAnchor="text" w:y="1"/>
                    <w:suppressOverlap/>
                    <w:jc w:val="center"/>
                    <w:rPr>
                      <w:rFonts w:ascii="Calibri" w:eastAsiaTheme="minorHAnsi" w:hAnsi="Calibri"/>
                      <w:b/>
                      <w:bCs/>
                      <w:szCs w:val="20"/>
                    </w:rPr>
                  </w:pPr>
                  <w:r w:rsidRPr="006E4451">
                    <w:rPr>
                      <w:b/>
                      <w:bCs/>
                      <w:szCs w:val="20"/>
                    </w:rPr>
                    <w:t>DY4</w:t>
                  </w:r>
                </w:p>
              </w:tc>
              <w:tc>
                <w:tcPr>
                  <w:tcW w:w="3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29FD" w:rsidRPr="006E4451" w:rsidRDefault="008F1DB7" w:rsidP="00441150">
                  <w:pPr>
                    <w:framePr w:hSpace="180" w:wrap="around" w:vAnchor="text" w:hAnchor="text" w:y="1"/>
                    <w:suppressOverlap/>
                    <w:rPr>
                      <w:rFonts w:ascii="Calibri" w:eastAsiaTheme="minorHAnsi" w:hAnsi="Calibri"/>
                      <w:sz w:val="18"/>
                      <w:szCs w:val="18"/>
                    </w:rPr>
                  </w:pPr>
                  <w:r w:rsidRPr="006E4451">
                    <w:rPr>
                      <w:sz w:val="18"/>
                      <w:szCs w:val="18"/>
                    </w:rPr>
                    <w:t>Submissions</w:t>
                  </w:r>
                  <w:r w:rsidR="00EC29FD" w:rsidRPr="006E4451">
                    <w:rPr>
                      <w:sz w:val="18"/>
                      <w:szCs w:val="18"/>
                    </w:rPr>
                    <w:t xml:space="preserve">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November 16, 2015</w:t>
                  </w:r>
                </w:p>
              </w:tc>
            </w:tr>
            <w:tr w:rsidR="00EC29FD" w:rsidTr="00D82988">
              <w:trPr>
                <w:trHeight w:val="288"/>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IGT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January 28, 2016</w:t>
                  </w:r>
                </w:p>
              </w:tc>
            </w:tr>
            <w:tr w:rsidR="00EC29FD" w:rsidTr="00D82988">
              <w:trPr>
                <w:trHeight w:val="300"/>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Payment</w:t>
                  </w:r>
                </w:p>
              </w:tc>
              <w:tc>
                <w:tcPr>
                  <w:tcW w:w="2051"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February 12, 2016</w:t>
                  </w:r>
                </w:p>
              </w:tc>
            </w:tr>
            <w:tr w:rsidR="00EC29FD" w:rsidTr="00D82988">
              <w:trPr>
                <w:trHeight w:val="288"/>
              </w:trPr>
              <w:tc>
                <w:tcPr>
                  <w:tcW w:w="534" w:type="dxa"/>
                  <w:vMerge w:val="restart"/>
                  <w:tcBorders>
                    <w:top w:val="nil"/>
                    <w:left w:val="single" w:sz="12" w:space="0" w:color="auto"/>
                    <w:bottom w:val="single" w:sz="8" w:space="0" w:color="000000"/>
                    <w:right w:val="single" w:sz="8" w:space="0" w:color="auto"/>
                  </w:tcBorders>
                  <w:shd w:val="clear" w:color="auto" w:fill="99CCFF"/>
                  <w:tcMar>
                    <w:top w:w="0" w:type="dxa"/>
                    <w:left w:w="108" w:type="dxa"/>
                    <w:bottom w:w="0" w:type="dxa"/>
                    <w:right w:w="108" w:type="dxa"/>
                  </w:tcMar>
                  <w:textDirection w:val="btLr"/>
                  <w:vAlign w:val="center"/>
                  <w:hideMark/>
                </w:tcPr>
                <w:p w:rsidR="00EC29FD" w:rsidRPr="006E4451" w:rsidRDefault="00EC29FD" w:rsidP="00441150">
                  <w:pPr>
                    <w:framePr w:hSpace="180" w:wrap="around" w:vAnchor="text" w:hAnchor="text" w:y="1"/>
                    <w:suppressOverlap/>
                    <w:jc w:val="center"/>
                    <w:rPr>
                      <w:rFonts w:ascii="Calibri" w:eastAsiaTheme="minorHAnsi" w:hAnsi="Calibri"/>
                      <w:b/>
                      <w:bCs/>
                      <w:szCs w:val="20"/>
                    </w:rPr>
                  </w:pPr>
                  <w:r w:rsidRPr="006E4451">
                    <w:rPr>
                      <w:b/>
                      <w:bCs/>
                      <w:szCs w:val="20"/>
                    </w:rPr>
                    <w:t>DY5</w:t>
                  </w:r>
                </w:p>
              </w:tc>
              <w:tc>
                <w:tcPr>
                  <w:tcW w:w="3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29FD" w:rsidRPr="006E4451" w:rsidRDefault="008F1DB7" w:rsidP="00441150">
                  <w:pPr>
                    <w:framePr w:hSpace="180" w:wrap="around" w:vAnchor="text" w:hAnchor="text" w:y="1"/>
                    <w:suppressOverlap/>
                    <w:rPr>
                      <w:rFonts w:ascii="Calibri" w:eastAsiaTheme="minorHAnsi" w:hAnsi="Calibri"/>
                      <w:sz w:val="18"/>
                      <w:szCs w:val="18"/>
                    </w:rPr>
                  </w:pPr>
                  <w:r w:rsidRPr="006E4451">
                    <w:rPr>
                      <w:sz w:val="18"/>
                      <w:szCs w:val="18"/>
                    </w:rPr>
                    <w:t>Submissions</w:t>
                  </w:r>
                  <w:r w:rsidR="00EC29FD" w:rsidRPr="006E4451">
                    <w:rPr>
                      <w:sz w:val="18"/>
                      <w:szCs w:val="18"/>
                    </w:rPr>
                    <w:t xml:space="preserve">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May 16, 2016</w:t>
                  </w:r>
                </w:p>
              </w:tc>
            </w:tr>
            <w:tr w:rsidR="00EC29FD" w:rsidTr="00D82988">
              <w:trPr>
                <w:trHeight w:val="288"/>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IGT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highlight w:val="yellow"/>
                    </w:rPr>
                    <w:t xml:space="preserve">July </w:t>
                  </w:r>
                  <w:r w:rsidR="00AF4E25" w:rsidRPr="006E4451">
                    <w:rPr>
                      <w:sz w:val="18"/>
                      <w:szCs w:val="18"/>
                      <w:highlight w:val="yellow"/>
                    </w:rPr>
                    <w:t>28</w:t>
                  </w:r>
                  <w:r w:rsidRPr="006E4451">
                    <w:rPr>
                      <w:sz w:val="18"/>
                      <w:szCs w:val="18"/>
                      <w:highlight w:val="yellow"/>
                    </w:rPr>
                    <w:t>, 2016</w:t>
                  </w:r>
                </w:p>
              </w:tc>
            </w:tr>
            <w:tr w:rsidR="00EC29FD" w:rsidTr="00D82988">
              <w:trPr>
                <w:trHeight w:val="300"/>
              </w:trPr>
              <w:tc>
                <w:tcPr>
                  <w:tcW w:w="534" w:type="dxa"/>
                  <w:vMerge/>
                  <w:tcBorders>
                    <w:top w:val="nil"/>
                    <w:left w:val="single" w:sz="12" w:space="0" w:color="auto"/>
                    <w:bottom w:val="single" w:sz="8" w:space="0" w:color="000000"/>
                    <w:right w:val="single" w:sz="8" w:space="0" w:color="auto"/>
                  </w:tcBorders>
                  <w:vAlign w:val="center"/>
                  <w:hideMark/>
                </w:tcPr>
                <w:p w:rsidR="00EC29FD" w:rsidRPr="006E4451" w:rsidRDefault="00EC29FD" w:rsidP="00441150">
                  <w:pPr>
                    <w:framePr w:hSpace="180" w:wrap="around" w:vAnchor="text" w:hAnchor="text" w:y="1"/>
                    <w:suppressOverlap/>
                    <w:rPr>
                      <w:rFonts w:ascii="Calibri" w:eastAsiaTheme="minorHAnsi" w:hAnsi="Calibri"/>
                      <w:b/>
                      <w:bCs/>
                      <w:szCs w:val="20"/>
                    </w:rPr>
                  </w:pPr>
                </w:p>
              </w:tc>
              <w:tc>
                <w:tcPr>
                  <w:tcW w:w="382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Payment</w:t>
                  </w:r>
                </w:p>
              </w:tc>
              <w:tc>
                <w:tcPr>
                  <w:tcW w:w="2051"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jc w:val="center"/>
                    <w:rPr>
                      <w:rFonts w:ascii="Calibri" w:eastAsiaTheme="minorHAnsi" w:hAnsi="Calibri"/>
                      <w:sz w:val="18"/>
                      <w:szCs w:val="18"/>
                    </w:rPr>
                  </w:pPr>
                  <w:r w:rsidRPr="006E4451">
                    <w:rPr>
                      <w:sz w:val="18"/>
                      <w:szCs w:val="18"/>
                    </w:rPr>
                    <w:t>August 12, 2016</w:t>
                  </w:r>
                </w:p>
              </w:tc>
            </w:tr>
            <w:tr w:rsidR="00EC29FD" w:rsidTr="00D82988">
              <w:trPr>
                <w:trHeight w:val="288"/>
              </w:trPr>
              <w:tc>
                <w:tcPr>
                  <w:tcW w:w="534" w:type="dxa"/>
                  <w:vMerge w:val="restart"/>
                  <w:tcBorders>
                    <w:top w:val="nil"/>
                    <w:left w:val="single" w:sz="12" w:space="0" w:color="auto"/>
                    <w:bottom w:val="single" w:sz="8" w:space="0" w:color="000000"/>
                    <w:right w:val="single" w:sz="8" w:space="0" w:color="auto"/>
                  </w:tcBorders>
                  <w:shd w:val="clear" w:color="auto" w:fill="99CCFF"/>
                  <w:tcMar>
                    <w:top w:w="0" w:type="dxa"/>
                    <w:left w:w="108" w:type="dxa"/>
                    <w:bottom w:w="0" w:type="dxa"/>
                    <w:right w:w="108" w:type="dxa"/>
                  </w:tcMar>
                  <w:textDirection w:val="btLr"/>
                  <w:vAlign w:val="center"/>
                  <w:hideMark/>
                </w:tcPr>
                <w:p w:rsidR="00EC29FD" w:rsidRPr="006E4451" w:rsidRDefault="00EC29FD" w:rsidP="00441150">
                  <w:pPr>
                    <w:framePr w:hSpace="180" w:wrap="around" w:vAnchor="text" w:hAnchor="text" w:y="1"/>
                    <w:suppressOverlap/>
                    <w:jc w:val="center"/>
                    <w:rPr>
                      <w:rFonts w:ascii="Calibri" w:eastAsiaTheme="minorHAnsi" w:hAnsi="Calibri"/>
                      <w:b/>
                      <w:bCs/>
                      <w:szCs w:val="20"/>
                    </w:rPr>
                  </w:pPr>
                  <w:r w:rsidRPr="006E4451">
                    <w:rPr>
                      <w:b/>
                      <w:bCs/>
                      <w:szCs w:val="20"/>
                    </w:rPr>
                    <w:t>DY5</w:t>
                  </w:r>
                </w:p>
              </w:tc>
              <w:tc>
                <w:tcPr>
                  <w:tcW w:w="3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29FD" w:rsidRPr="006E4451" w:rsidRDefault="008F1DB7" w:rsidP="00441150">
                  <w:pPr>
                    <w:framePr w:hSpace="180" w:wrap="around" w:vAnchor="text" w:hAnchor="text" w:y="1"/>
                    <w:suppressOverlap/>
                    <w:rPr>
                      <w:rFonts w:ascii="Calibri" w:eastAsiaTheme="minorHAnsi" w:hAnsi="Calibri"/>
                      <w:sz w:val="18"/>
                      <w:szCs w:val="18"/>
                    </w:rPr>
                  </w:pPr>
                  <w:r w:rsidRPr="006E4451">
                    <w:rPr>
                      <w:sz w:val="18"/>
                      <w:szCs w:val="18"/>
                    </w:rPr>
                    <w:t>Submission</w:t>
                  </w:r>
                  <w:r w:rsidR="00EC29FD" w:rsidRPr="006E4451">
                    <w:rPr>
                      <w:sz w:val="18"/>
                      <w:szCs w:val="18"/>
                    </w:rPr>
                    <w:t>s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021A4A" w:rsidP="00441150">
                  <w:pPr>
                    <w:framePr w:hSpace="180" w:wrap="around" w:vAnchor="text" w:hAnchor="text" w:y="1"/>
                    <w:suppressOverlap/>
                    <w:jc w:val="center"/>
                    <w:rPr>
                      <w:rFonts w:ascii="Calibri" w:eastAsiaTheme="minorHAnsi" w:hAnsi="Calibri"/>
                      <w:sz w:val="18"/>
                      <w:szCs w:val="18"/>
                    </w:rPr>
                  </w:pPr>
                  <w:r w:rsidRPr="006E4451">
                    <w:rPr>
                      <w:sz w:val="18"/>
                      <w:szCs w:val="18"/>
                      <w:highlight w:val="yellow"/>
                    </w:rPr>
                    <w:t>TBD</w:t>
                  </w:r>
                </w:p>
              </w:tc>
            </w:tr>
            <w:tr w:rsidR="00EC29FD" w:rsidTr="00D82988">
              <w:trPr>
                <w:trHeight w:val="288"/>
              </w:trPr>
              <w:tc>
                <w:tcPr>
                  <w:tcW w:w="534" w:type="dxa"/>
                  <w:vMerge/>
                  <w:tcBorders>
                    <w:top w:val="nil"/>
                    <w:left w:val="single" w:sz="12" w:space="0" w:color="auto"/>
                    <w:bottom w:val="single" w:sz="8" w:space="0" w:color="000000"/>
                    <w:right w:val="single" w:sz="8" w:space="0" w:color="auto"/>
                  </w:tcBorders>
                  <w:vAlign w:val="center"/>
                  <w:hideMark/>
                </w:tcPr>
                <w:p w:rsidR="00EC29FD" w:rsidRDefault="00EC29FD" w:rsidP="00441150">
                  <w:pPr>
                    <w:framePr w:hSpace="180" w:wrap="around" w:vAnchor="text" w:hAnchor="text" w:y="1"/>
                    <w:suppressOverlap/>
                    <w:rPr>
                      <w:rFonts w:ascii="Calibri" w:eastAsiaTheme="minorHAnsi" w:hAnsi="Calibri"/>
                      <w:b/>
                      <w:bCs/>
                      <w:sz w:val="24"/>
                    </w:rPr>
                  </w:pPr>
                </w:p>
              </w:tc>
              <w:tc>
                <w:tcPr>
                  <w:tcW w:w="3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IGT Due</w:t>
                  </w:r>
                </w:p>
              </w:tc>
              <w:tc>
                <w:tcPr>
                  <w:tcW w:w="2051"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EC29FD" w:rsidRPr="006E4451" w:rsidRDefault="00021A4A" w:rsidP="00441150">
                  <w:pPr>
                    <w:framePr w:hSpace="180" w:wrap="around" w:vAnchor="text" w:hAnchor="text" w:y="1"/>
                    <w:suppressOverlap/>
                    <w:jc w:val="center"/>
                    <w:rPr>
                      <w:rFonts w:ascii="Calibri" w:eastAsiaTheme="minorHAnsi" w:hAnsi="Calibri"/>
                      <w:sz w:val="18"/>
                      <w:szCs w:val="18"/>
                    </w:rPr>
                  </w:pPr>
                  <w:r w:rsidRPr="006E4451">
                    <w:rPr>
                      <w:sz w:val="18"/>
                      <w:szCs w:val="18"/>
                      <w:highlight w:val="yellow"/>
                    </w:rPr>
                    <w:t>TBD</w:t>
                  </w:r>
                </w:p>
              </w:tc>
            </w:tr>
            <w:tr w:rsidR="00EC29FD" w:rsidTr="00D82988">
              <w:trPr>
                <w:trHeight w:val="300"/>
              </w:trPr>
              <w:tc>
                <w:tcPr>
                  <w:tcW w:w="534" w:type="dxa"/>
                  <w:vMerge/>
                  <w:tcBorders>
                    <w:top w:val="nil"/>
                    <w:left w:val="single" w:sz="12" w:space="0" w:color="auto"/>
                    <w:bottom w:val="single" w:sz="8" w:space="0" w:color="000000"/>
                    <w:right w:val="single" w:sz="8" w:space="0" w:color="auto"/>
                  </w:tcBorders>
                  <w:vAlign w:val="center"/>
                  <w:hideMark/>
                </w:tcPr>
                <w:p w:rsidR="00EC29FD" w:rsidRDefault="00EC29FD" w:rsidP="00441150">
                  <w:pPr>
                    <w:framePr w:hSpace="180" w:wrap="around" w:vAnchor="text" w:hAnchor="text" w:y="1"/>
                    <w:suppressOverlap/>
                    <w:rPr>
                      <w:rFonts w:ascii="Calibri" w:eastAsiaTheme="minorHAnsi" w:hAnsi="Calibri"/>
                      <w:b/>
                      <w:bCs/>
                      <w:sz w:val="24"/>
                    </w:rPr>
                  </w:pPr>
                </w:p>
              </w:tc>
              <w:tc>
                <w:tcPr>
                  <w:tcW w:w="382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EC29FD" w:rsidRPr="006E4451" w:rsidRDefault="00EC29FD" w:rsidP="00441150">
                  <w:pPr>
                    <w:framePr w:hSpace="180" w:wrap="around" w:vAnchor="text" w:hAnchor="text" w:y="1"/>
                    <w:suppressOverlap/>
                    <w:rPr>
                      <w:rFonts w:ascii="Calibri" w:eastAsiaTheme="minorHAnsi" w:hAnsi="Calibri"/>
                      <w:sz w:val="18"/>
                      <w:szCs w:val="18"/>
                    </w:rPr>
                  </w:pPr>
                  <w:r w:rsidRPr="006E4451">
                    <w:rPr>
                      <w:sz w:val="18"/>
                      <w:szCs w:val="18"/>
                    </w:rPr>
                    <w:t>Admin Payment</w:t>
                  </w:r>
                </w:p>
              </w:tc>
              <w:tc>
                <w:tcPr>
                  <w:tcW w:w="2051"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rsidR="00EC29FD" w:rsidRPr="006E4451" w:rsidRDefault="00021A4A" w:rsidP="00441150">
                  <w:pPr>
                    <w:framePr w:hSpace="180" w:wrap="around" w:vAnchor="text" w:hAnchor="text" w:y="1"/>
                    <w:suppressOverlap/>
                    <w:jc w:val="center"/>
                    <w:rPr>
                      <w:rFonts w:ascii="Calibri" w:eastAsiaTheme="minorHAnsi" w:hAnsi="Calibri"/>
                      <w:sz w:val="18"/>
                      <w:szCs w:val="18"/>
                    </w:rPr>
                  </w:pPr>
                  <w:r w:rsidRPr="006E4451">
                    <w:rPr>
                      <w:sz w:val="18"/>
                      <w:szCs w:val="18"/>
                      <w:highlight w:val="yellow"/>
                    </w:rPr>
                    <w:t>TBD</w:t>
                  </w:r>
                </w:p>
              </w:tc>
            </w:tr>
          </w:tbl>
          <w:p w:rsidR="00EC29FD" w:rsidRPr="00E101D8" w:rsidRDefault="00EC29FD" w:rsidP="00E101D8">
            <w:pPr>
              <w:tabs>
                <w:tab w:val="left" w:pos="0"/>
              </w:tabs>
              <w:rPr>
                <w:rFonts w:asciiTheme="minorHAnsi" w:hAnsiTheme="minorHAnsi" w:cstheme="minorHAnsi"/>
                <w:b/>
                <w:sz w:val="22"/>
                <w:szCs w:val="22"/>
              </w:rPr>
            </w:pPr>
          </w:p>
          <w:p w:rsidR="001B1790" w:rsidRPr="00C05A69" w:rsidRDefault="004B4CF2" w:rsidP="001B1790">
            <w:pPr>
              <w:tabs>
                <w:tab w:val="left" w:pos="0"/>
              </w:tabs>
              <w:rPr>
                <w:rFonts w:asciiTheme="minorHAnsi" w:hAnsiTheme="minorHAnsi" w:cstheme="minorHAnsi"/>
                <w:b/>
                <w:sz w:val="22"/>
                <w:szCs w:val="22"/>
              </w:rPr>
            </w:pPr>
            <w:r w:rsidRPr="00C05A69">
              <w:rPr>
                <w:rFonts w:asciiTheme="minorHAnsi" w:hAnsiTheme="minorHAnsi" w:cstheme="minorHAnsi"/>
                <w:b/>
                <w:sz w:val="22"/>
                <w:szCs w:val="22"/>
              </w:rPr>
              <w:t>CMS DY2 DSRIP Financial Management Review</w:t>
            </w:r>
          </w:p>
          <w:p w:rsidR="004B4CF2" w:rsidRPr="00E101D8" w:rsidRDefault="00A6427C" w:rsidP="00F91B9C">
            <w:pPr>
              <w:pStyle w:val="ListParagraph"/>
              <w:numPr>
                <w:ilvl w:val="0"/>
                <w:numId w:val="4"/>
              </w:numPr>
              <w:rPr>
                <w:rFonts w:asciiTheme="minorHAnsi" w:hAnsiTheme="minorHAnsi" w:cstheme="minorHAnsi"/>
                <w:sz w:val="22"/>
                <w:szCs w:val="22"/>
              </w:rPr>
            </w:pPr>
            <w:r w:rsidRPr="00441150">
              <w:rPr>
                <w:rFonts w:asciiTheme="minorHAnsi" w:hAnsiTheme="minorHAnsi" w:cstheme="minorHAnsi"/>
                <w:sz w:val="22"/>
                <w:szCs w:val="22"/>
              </w:rPr>
              <w:t xml:space="preserve">HHSC </w:t>
            </w:r>
            <w:r w:rsidR="00C216C6" w:rsidRPr="00441150">
              <w:rPr>
                <w:rFonts w:asciiTheme="minorHAnsi" w:hAnsiTheme="minorHAnsi" w:cstheme="minorHAnsi"/>
                <w:sz w:val="22"/>
                <w:szCs w:val="22"/>
              </w:rPr>
              <w:t xml:space="preserve">has not received an update from CMS as to when </w:t>
            </w:r>
            <w:r w:rsidRPr="00441150">
              <w:rPr>
                <w:rFonts w:asciiTheme="minorHAnsi" w:hAnsiTheme="minorHAnsi" w:cstheme="minorHAnsi"/>
                <w:sz w:val="22"/>
                <w:szCs w:val="22"/>
              </w:rPr>
              <w:t xml:space="preserve">we should anticipate receiving the draft report for comment (November </w:t>
            </w:r>
            <w:r w:rsidR="00C216C6" w:rsidRPr="00441150">
              <w:rPr>
                <w:rFonts w:asciiTheme="minorHAnsi" w:hAnsiTheme="minorHAnsi" w:cstheme="minorHAnsi"/>
                <w:sz w:val="22"/>
                <w:szCs w:val="22"/>
              </w:rPr>
              <w:t>was the original target</w:t>
            </w:r>
            <w:r w:rsidRPr="00441150">
              <w:rPr>
                <w:rFonts w:asciiTheme="minorHAnsi" w:hAnsiTheme="minorHAnsi" w:cstheme="minorHAnsi"/>
                <w:sz w:val="22"/>
                <w:szCs w:val="22"/>
              </w:rPr>
              <w:t>).</w:t>
            </w:r>
            <w:r w:rsidR="00504D78">
              <w:rPr>
                <w:rFonts w:asciiTheme="minorHAnsi" w:hAnsiTheme="minorHAnsi" w:cstheme="minorHAnsi"/>
                <w:sz w:val="22"/>
                <w:szCs w:val="22"/>
              </w:rPr>
              <w:t xml:space="preserve"> It is possible CMS may not issue a report.</w:t>
            </w:r>
          </w:p>
          <w:p w:rsidR="00E101D8" w:rsidRDefault="00E101D8" w:rsidP="004B4CF2">
            <w:pPr>
              <w:rPr>
                <w:rFonts w:asciiTheme="minorHAnsi" w:hAnsiTheme="minorHAnsi" w:cstheme="minorHAnsi"/>
                <w:sz w:val="22"/>
                <w:szCs w:val="22"/>
              </w:rPr>
            </w:pPr>
          </w:p>
          <w:p w:rsidR="004B4CF2" w:rsidRPr="00C05A69" w:rsidRDefault="004B4CF2" w:rsidP="004B4CF2">
            <w:pPr>
              <w:rPr>
                <w:rFonts w:asciiTheme="minorHAnsi" w:hAnsiTheme="minorHAnsi" w:cstheme="minorHAnsi"/>
                <w:b/>
                <w:sz w:val="22"/>
                <w:szCs w:val="22"/>
              </w:rPr>
            </w:pPr>
            <w:r w:rsidRPr="00C05A69">
              <w:rPr>
                <w:rFonts w:asciiTheme="minorHAnsi" w:hAnsiTheme="minorHAnsi" w:cstheme="minorHAnsi"/>
                <w:b/>
                <w:sz w:val="22"/>
                <w:szCs w:val="22"/>
              </w:rPr>
              <w:t>DSRIP Mid-Point Assessment</w:t>
            </w:r>
          </w:p>
          <w:p w:rsidR="00D5255C" w:rsidRDefault="004C30F3" w:rsidP="00F91B9C">
            <w:pPr>
              <w:pStyle w:val="ListParagraph"/>
              <w:numPr>
                <w:ilvl w:val="0"/>
                <w:numId w:val="4"/>
              </w:numPr>
              <w:rPr>
                <w:rFonts w:asciiTheme="minorHAnsi" w:hAnsiTheme="minorHAnsi"/>
                <w:sz w:val="22"/>
                <w:szCs w:val="22"/>
              </w:rPr>
            </w:pPr>
            <w:r>
              <w:rPr>
                <w:rFonts w:asciiTheme="minorHAnsi" w:hAnsiTheme="minorHAnsi"/>
                <w:sz w:val="22"/>
                <w:szCs w:val="22"/>
              </w:rPr>
              <w:t>Myers and Stauffer</w:t>
            </w:r>
            <w:r w:rsidR="00441150">
              <w:rPr>
                <w:rFonts w:asciiTheme="minorHAnsi" w:hAnsiTheme="minorHAnsi"/>
                <w:sz w:val="22"/>
                <w:szCs w:val="22"/>
              </w:rPr>
              <w:t xml:space="preserve"> (MSLC)</w:t>
            </w:r>
            <w:r>
              <w:rPr>
                <w:rFonts w:asciiTheme="minorHAnsi" w:hAnsiTheme="minorHAnsi"/>
                <w:sz w:val="22"/>
                <w:szCs w:val="22"/>
              </w:rPr>
              <w:t xml:space="preserve"> </w:t>
            </w:r>
            <w:proofErr w:type="gramStart"/>
            <w:r>
              <w:rPr>
                <w:rFonts w:asciiTheme="minorHAnsi" w:hAnsiTheme="minorHAnsi"/>
                <w:sz w:val="22"/>
                <w:szCs w:val="22"/>
              </w:rPr>
              <w:t>continues</w:t>
            </w:r>
            <w:proofErr w:type="gramEnd"/>
            <w:r>
              <w:rPr>
                <w:rFonts w:asciiTheme="minorHAnsi" w:hAnsiTheme="minorHAnsi"/>
                <w:sz w:val="22"/>
                <w:szCs w:val="22"/>
              </w:rPr>
              <w:t xml:space="preserve"> the work for the</w:t>
            </w:r>
            <w:r w:rsidR="00D5255C">
              <w:rPr>
                <w:rFonts w:asciiTheme="minorHAnsi" w:hAnsiTheme="minorHAnsi"/>
                <w:sz w:val="22"/>
                <w:szCs w:val="22"/>
              </w:rPr>
              <w:t xml:space="preserve"> mid-point assessment by reviewing 3-</w:t>
            </w:r>
            <w:r w:rsidR="00D5255C">
              <w:rPr>
                <w:rFonts w:asciiTheme="minorHAnsi" w:hAnsiTheme="minorHAnsi"/>
                <w:sz w:val="22"/>
                <w:szCs w:val="22"/>
              </w:rPr>
              <w:lastRenderedPageBreak/>
              <w:t xml:space="preserve">year projects. Many providers received questions from Myers and Stauffer, which unfortunately overlapped with the reporting period. If providers need some additional time in responding to questions, please work </w:t>
            </w:r>
            <w:r w:rsidR="00441150">
              <w:rPr>
                <w:rFonts w:asciiTheme="minorHAnsi" w:hAnsiTheme="minorHAnsi"/>
                <w:sz w:val="22"/>
                <w:szCs w:val="22"/>
              </w:rPr>
              <w:t xml:space="preserve">with </w:t>
            </w:r>
            <w:r w:rsidR="00D5255C">
              <w:rPr>
                <w:rFonts w:asciiTheme="minorHAnsi" w:hAnsiTheme="minorHAnsi"/>
                <w:sz w:val="22"/>
                <w:szCs w:val="22"/>
              </w:rPr>
              <w:t>MSLC staff to get the extension needed. In general, providers are responding on time and HHSC appreciates provider</w:t>
            </w:r>
            <w:r w:rsidR="00504D78">
              <w:rPr>
                <w:rFonts w:asciiTheme="minorHAnsi" w:hAnsiTheme="minorHAnsi"/>
                <w:sz w:val="22"/>
                <w:szCs w:val="22"/>
              </w:rPr>
              <w:t>s'</w:t>
            </w:r>
            <w:r w:rsidR="00D5255C">
              <w:rPr>
                <w:rFonts w:asciiTheme="minorHAnsi" w:hAnsiTheme="minorHAnsi"/>
                <w:sz w:val="22"/>
                <w:szCs w:val="22"/>
              </w:rPr>
              <w:t xml:space="preserve"> willingness to respond to questions during the reporting period.</w:t>
            </w:r>
          </w:p>
          <w:p w:rsidR="004C30F3" w:rsidRPr="00441150" w:rsidRDefault="00D5255C" w:rsidP="00F91B9C">
            <w:pPr>
              <w:pStyle w:val="ListParagraph"/>
              <w:numPr>
                <w:ilvl w:val="0"/>
                <w:numId w:val="4"/>
              </w:numPr>
              <w:rPr>
                <w:rFonts w:asciiTheme="minorHAnsi" w:hAnsiTheme="minorHAnsi"/>
                <w:sz w:val="22"/>
                <w:szCs w:val="22"/>
              </w:rPr>
            </w:pPr>
            <w:r>
              <w:rPr>
                <w:rFonts w:asciiTheme="minorHAnsi" w:hAnsiTheme="minorHAnsi"/>
                <w:sz w:val="22"/>
                <w:szCs w:val="22"/>
              </w:rPr>
              <w:t>HHSC is still working on changes to the metrics impacting DY5 and/or narratives, and may</w:t>
            </w:r>
            <w:r w:rsidR="00504D78">
              <w:rPr>
                <w:rFonts w:asciiTheme="minorHAnsi" w:hAnsiTheme="minorHAnsi"/>
                <w:sz w:val="22"/>
                <w:szCs w:val="22"/>
              </w:rPr>
              <w:t xml:space="preserve"> </w:t>
            </w:r>
            <w:r>
              <w:rPr>
                <w:rFonts w:asciiTheme="minorHAnsi" w:hAnsiTheme="minorHAnsi"/>
                <w:sz w:val="22"/>
                <w:szCs w:val="22"/>
              </w:rPr>
              <w:t xml:space="preserve">be still contacting providers about these changes. </w:t>
            </w:r>
            <w:r w:rsidR="004C30F3">
              <w:rPr>
                <w:rFonts w:asciiTheme="minorHAnsi" w:hAnsiTheme="minorHAnsi"/>
                <w:sz w:val="22"/>
                <w:szCs w:val="22"/>
              </w:rPr>
              <w:t xml:space="preserve">HHSC plans to complete this work by the beginning of May. </w:t>
            </w:r>
          </w:p>
          <w:p w:rsidR="004C30F3" w:rsidRDefault="00AF4E25" w:rsidP="00F91B9C">
            <w:pPr>
              <w:pStyle w:val="ListParagraph"/>
              <w:numPr>
                <w:ilvl w:val="0"/>
                <w:numId w:val="4"/>
              </w:numPr>
              <w:rPr>
                <w:rFonts w:asciiTheme="minorHAnsi" w:hAnsiTheme="minorHAnsi"/>
                <w:sz w:val="22"/>
                <w:szCs w:val="22"/>
              </w:rPr>
            </w:pPr>
            <w:r>
              <w:rPr>
                <w:rFonts w:asciiTheme="minorHAnsi" w:hAnsiTheme="minorHAnsi"/>
                <w:sz w:val="22"/>
                <w:szCs w:val="22"/>
              </w:rPr>
              <w:t>As part of the mid-point assessment, HHSC will be requesting that projects that met or exceeded their DY5 QPI goal with DY3 QPI achievement increase their DY5 QPI goals. HHSC will contact impacted providers in May and cc Anchors with the proposed updated DY5 QPI goals. A response will be requested within two weeks or providers may request an extension as needed. These projects will not be allowed to maintain their current DY5 QPI goals but may propose an alternate QPI goal that is higher than their DY3 QPI achievement with explanation.</w:t>
            </w:r>
            <w:r w:rsidR="00504D78">
              <w:rPr>
                <w:rFonts w:asciiTheme="minorHAnsi" w:hAnsiTheme="minorHAnsi"/>
                <w:sz w:val="22"/>
                <w:szCs w:val="22"/>
              </w:rPr>
              <w:t xml:space="preserve"> If requesting a lower DY5 goal that what HHSC proposes, the provider will need to include with its explanation information on how much QPI has been achieved midway through DY4.</w:t>
            </w:r>
            <w:r>
              <w:rPr>
                <w:rFonts w:asciiTheme="minorHAnsi" w:hAnsiTheme="minorHAnsi"/>
                <w:sz w:val="22"/>
                <w:szCs w:val="22"/>
              </w:rPr>
              <w:t xml:space="preserve">  </w:t>
            </w:r>
          </w:p>
          <w:p w:rsidR="008F1DB7" w:rsidRDefault="004C30F3" w:rsidP="00F91B9C">
            <w:pPr>
              <w:pStyle w:val="ListParagraph"/>
              <w:numPr>
                <w:ilvl w:val="0"/>
                <w:numId w:val="4"/>
              </w:numPr>
              <w:rPr>
                <w:rFonts w:asciiTheme="minorHAnsi" w:hAnsiTheme="minorHAnsi"/>
                <w:sz w:val="22"/>
                <w:szCs w:val="22"/>
              </w:rPr>
            </w:pPr>
            <w:r>
              <w:rPr>
                <w:rFonts w:asciiTheme="minorHAnsi" w:hAnsiTheme="minorHAnsi"/>
                <w:sz w:val="22"/>
                <w:szCs w:val="22"/>
              </w:rPr>
              <w:t xml:space="preserve">HHSC received </w:t>
            </w:r>
            <w:r w:rsidR="000F5DA4">
              <w:rPr>
                <w:rFonts w:asciiTheme="minorHAnsi" w:hAnsiTheme="minorHAnsi"/>
                <w:sz w:val="22"/>
                <w:szCs w:val="22"/>
              </w:rPr>
              <w:t xml:space="preserve">results of the </w:t>
            </w:r>
            <w:r>
              <w:rPr>
                <w:rFonts w:asciiTheme="minorHAnsi" w:hAnsiTheme="minorHAnsi"/>
                <w:sz w:val="22"/>
                <w:szCs w:val="22"/>
              </w:rPr>
              <w:t>mid-point assessment review</w:t>
            </w:r>
            <w:r w:rsidR="00441150">
              <w:rPr>
                <w:rFonts w:asciiTheme="minorHAnsi" w:hAnsiTheme="minorHAnsi"/>
                <w:sz w:val="22"/>
                <w:szCs w:val="22"/>
              </w:rPr>
              <w:t xml:space="preserve"> </w:t>
            </w:r>
            <w:r w:rsidR="00441150">
              <w:rPr>
                <w:rFonts w:asciiTheme="minorHAnsi" w:hAnsiTheme="minorHAnsi"/>
                <w:sz w:val="22"/>
                <w:szCs w:val="22"/>
              </w:rPr>
              <w:t xml:space="preserve">from MSLC </w:t>
            </w:r>
            <w:r>
              <w:rPr>
                <w:rFonts w:asciiTheme="minorHAnsi" w:hAnsiTheme="minorHAnsi"/>
                <w:sz w:val="22"/>
                <w:szCs w:val="22"/>
              </w:rPr>
              <w:t>and</w:t>
            </w:r>
            <w:r w:rsidR="00295650">
              <w:rPr>
                <w:rFonts w:asciiTheme="minorHAnsi" w:hAnsiTheme="minorHAnsi"/>
                <w:sz w:val="22"/>
                <w:szCs w:val="22"/>
              </w:rPr>
              <w:t xml:space="preserve"> we are</w:t>
            </w:r>
            <w:r>
              <w:rPr>
                <w:rFonts w:asciiTheme="minorHAnsi" w:hAnsiTheme="minorHAnsi"/>
                <w:sz w:val="22"/>
                <w:szCs w:val="22"/>
              </w:rPr>
              <w:t xml:space="preserve"> in the </w:t>
            </w:r>
            <w:r w:rsidR="00295650">
              <w:rPr>
                <w:rFonts w:asciiTheme="minorHAnsi" w:hAnsiTheme="minorHAnsi"/>
                <w:sz w:val="22"/>
                <w:szCs w:val="22"/>
              </w:rPr>
              <w:t>process of finalizing our</w:t>
            </w:r>
            <w:r>
              <w:rPr>
                <w:rFonts w:asciiTheme="minorHAnsi" w:hAnsiTheme="minorHAnsi"/>
                <w:sz w:val="22"/>
                <w:szCs w:val="22"/>
              </w:rPr>
              <w:t xml:space="preserve"> feedback.</w:t>
            </w:r>
            <w:r w:rsidR="00AF4E25">
              <w:rPr>
                <w:rFonts w:asciiTheme="minorHAnsi" w:hAnsiTheme="minorHAnsi"/>
                <w:sz w:val="22"/>
                <w:szCs w:val="22"/>
              </w:rPr>
              <w:t xml:space="preserve"> </w:t>
            </w:r>
            <w:r w:rsidR="00295650">
              <w:rPr>
                <w:rFonts w:asciiTheme="minorHAnsi" w:hAnsiTheme="minorHAnsi"/>
                <w:sz w:val="22"/>
                <w:szCs w:val="22"/>
              </w:rPr>
              <w:t>HHSC will share</w:t>
            </w:r>
            <w:r>
              <w:rPr>
                <w:rFonts w:asciiTheme="minorHAnsi" w:hAnsiTheme="minorHAnsi"/>
                <w:sz w:val="22"/>
                <w:szCs w:val="22"/>
              </w:rPr>
              <w:t xml:space="preserve"> </w:t>
            </w:r>
            <w:r w:rsidR="000F5DA4">
              <w:rPr>
                <w:rFonts w:asciiTheme="minorHAnsi" w:hAnsiTheme="minorHAnsi"/>
                <w:sz w:val="22"/>
                <w:szCs w:val="22"/>
              </w:rPr>
              <w:t xml:space="preserve">additional information regarding results of the review and next steps in the very near future. </w:t>
            </w:r>
          </w:p>
          <w:p w:rsidR="00295650" w:rsidRPr="00441150" w:rsidRDefault="00295650" w:rsidP="00F91B9C">
            <w:pPr>
              <w:pStyle w:val="ListParagraph"/>
              <w:numPr>
                <w:ilvl w:val="0"/>
                <w:numId w:val="4"/>
              </w:numPr>
              <w:rPr>
                <w:rFonts w:asciiTheme="minorHAnsi" w:hAnsiTheme="minorHAnsi"/>
                <w:sz w:val="22"/>
                <w:szCs w:val="22"/>
              </w:rPr>
            </w:pPr>
            <w:r>
              <w:rPr>
                <w:rFonts w:asciiTheme="minorHAnsi" w:hAnsiTheme="minorHAnsi"/>
                <w:sz w:val="22"/>
                <w:szCs w:val="22"/>
              </w:rPr>
              <w:t>Once 3 year projects' review is completed, results of the review will be attached to the overall report as an appendix.</w:t>
            </w:r>
          </w:p>
          <w:p w:rsidR="00DD0A50" w:rsidRPr="00E101D8" w:rsidRDefault="00DD0A50" w:rsidP="00E101D8">
            <w:pPr>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84677C" w:rsidRPr="00441150" w:rsidRDefault="002D60D9" w:rsidP="00441150">
            <w:pPr>
              <w:pStyle w:val="ListParagraph"/>
              <w:numPr>
                <w:ilvl w:val="0"/>
                <w:numId w:val="20"/>
              </w:numPr>
              <w:rPr>
                <w:rFonts w:asciiTheme="minorHAnsi" w:hAnsiTheme="minorHAnsi"/>
                <w:sz w:val="22"/>
                <w:szCs w:val="22"/>
              </w:rPr>
            </w:pPr>
            <w:r w:rsidRPr="00441150">
              <w:rPr>
                <w:rFonts w:asciiTheme="minorHAnsi" w:hAnsiTheme="minorHAnsi"/>
                <w:sz w:val="22"/>
                <w:szCs w:val="22"/>
              </w:rPr>
              <w:t>At the Executive Waiver Committee (EWC)</w:t>
            </w:r>
            <w:r w:rsidR="00441150">
              <w:rPr>
                <w:rFonts w:asciiTheme="minorHAnsi" w:hAnsiTheme="minorHAnsi"/>
                <w:sz w:val="22"/>
                <w:szCs w:val="22"/>
              </w:rPr>
              <w:t xml:space="preserve"> on May 7</w:t>
            </w:r>
            <w:r w:rsidR="00441150" w:rsidRPr="00441150">
              <w:rPr>
                <w:rFonts w:asciiTheme="minorHAnsi" w:hAnsiTheme="minorHAnsi"/>
                <w:sz w:val="22"/>
                <w:szCs w:val="22"/>
                <w:vertAlign w:val="superscript"/>
              </w:rPr>
              <w:t>th</w:t>
            </w:r>
            <w:r w:rsidR="00441150">
              <w:rPr>
                <w:rFonts w:asciiTheme="minorHAnsi" w:hAnsiTheme="minorHAnsi"/>
                <w:sz w:val="22"/>
                <w:szCs w:val="22"/>
              </w:rPr>
              <w:t xml:space="preserve">, </w:t>
            </w:r>
            <w:r w:rsidRPr="00441150">
              <w:rPr>
                <w:rFonts w:asciiTheme="minorHAnsi" w:hAnsiTheme="minorHAnsi"/>
                <w:sz w:val="22"/>
                <w:szCs w:val="22"/>
              </w:rPr>
              <w:t xml:space="preserve">HHSC will provide information on </w:t>
            </w:r>
            <w:r w:rsidR="00441150">
              <w:rPr>
                <w:rFonts w:asciiTheme="minorHAnsi" w:hAnsiTheme="minorHAnsi"/>
                <w:sz w:val="22"/>
                <w:szCs w:val="22"/>
              </w:rPr>
              <w:t>w</w:t>
            </w:r>
            <w:r w:rsidRPr="00441150">
              <w:rPr>
                <w:rFonts w:asciiTheme="minorHAnsi" w:hAnsiTheme="minorHAnsi"/>
                <w:sz w:val="22"/>
                <w:szCs w:val="22"/>
              </w:rPr>
              <w:t xml:space="preserve">aiver </w:t>
            </w:r>
            <w:r w:rsidR="00441150">
              <w:rPr>
                <w:rFonts w:asciiTheme="minorHAnsi" w:hAnsiTheme="minorHAnsi"/>
                <w:sz w:val="22"/>
                <w:szCs w:val="22"/>
              </w:rPr>
              <w:t>r</w:t>
            </w:r>
            <w:r w:rsidRPr="00441150">
              <w:rPr>
                <w:rFonts w:asciiTheme="minorHAnsi" w:hAnsiTheme="minorHAnsi"/>
                <w:sz w:val="22"/>
                <w:szCs w:val="22"/>
              </w:rPr>
              <w:t xml:space="preserve">enewal </w:t>
            </w:r>
            <w:r w:rsidR="00441150">
              <w:rPr>
                <w:rFonts w:asciiTheme="minorHAnsi" w:hAnsiTheme="minorHAnsi"/>
                <w:sz w:val="22"/>
                <w:szCs w:val="22"/>
              </w:rPr>
              <w:t>k</w:t>
            </w:r>
            <w:r w:rsidRPr="00441150">
              <w:rPr>
                <w:rFonts w:asciiTheme="minorHAnsi" w:hAnsiTheme="minorHAnsi"/>
                <w:sz w:val="22"/>
                <w:szCs w:val="22"/>
              </w:rPr>
              <w:t xml:space="preserve">ey DSRIP issues for discussion. The information will build on the Transition Plan submitted to CMS in March to include </w:t>
            </w:r>
            <w:r w:rsidR="00441150">
              <w:rPr>
                <w:rFonts w:asciiTheme="minorHAnsi" w:hAnsiTheme="minorHAnsi"/>
                <w:sz w:val="22"/>
                <w:szCs w:val="22"/>
              </w:rPr>
              <w:t xml:space="preserve">the </w:t>
            </w:r>
            <w:r w:rsidRPr="00441150">
              <w:rPr>
                <w:rFonts w:asciiTheme="minorHAnsi" w:hAnsiTheme="minorHAnsi"/>
                <w:sz w:val="22"/>
                <w:szCs w:val="22"/>
              </w:rPr>
              <w:t>following key areas:</w:t>
            </w:r>
          </w:p>
          <w:p w:rsidR="002D60D9" w:rsidRPr="00441150" w:rsidRDefault="002D60D9" w:rsidP="00441150">
            <w:pPr>
              <w:pStyle w:val="ListParagraph"/>
              <w:numPr>
                <w:ilvl w:val="1"/>
                <w:numId w:val="20"/>
              </w:numPr>
              <w:rPr>
                <w:rFonts w:asciiTheme="minorHAnsi" w:hAnsiTheme="minorHAnsi"/>
                <w:sz w:val="22"/>
                <w:szCs w:val="22"/>
              </w:rPr>
            </w:pPr>
            <w:r w:rsidRPr="00441150">
              <w:rPr>
                <w:rFonts w:asciiTheme="minorHAnsi" w:hAnsiTheme="minorHAnsi"/>
                <w:sz w:val="22"/>
                <w:szCs w:val="22"/>
              </w:rPr>
              <w:t>The majority of current active projects will be eligible to continue in the extension period for more time to demonstrate outcomes.</w:t>
            </w:r>
          </w:p>
          <w:p w:rsidR="002D60D9" w:rsidRPr="00441150" w:rsidRDefault="002D60D9" w:rsidP="00441150">
            <w:pPr>
              <w:pStyle w:val="ListParagraph"/>
              <w:numPr>
                <w:ilvl w:val="1"/>
                <w:numId w:val="20"/>
              </w:numPr>
              <w:rPr>
                <w:rFonts w:asciiTheme="minorHAnsi" w:hAnsiTheme="minorHAnsi"/>
                <w:sz w:val="22"/>
                <w:szCs w:val="22"/>
              </w:rPr>
            </w:pPr>
            <w:r w:rsidRPr="00441150">
              <w:rPr>
                <w:rFonts w:asciiTheme="minorHAnsi" w:hAnsiTheme="minorHAnsi"/>
                <w:sz w:val="22"/>
                <w:szCs w:val="22"/>
              </w:rPr>
              <w:t>Project requirements for extension period</w:t>
            </w:r>
          </w:p>
          <w:p w:rsidR="002D60D9" w:rsidRPr="00441150" w:rsidRDefault="002D60D9" w:rsidP="00441150">
            <w:pPr>
              <w:pStyle w:val="ListParagraph"/>
              <w:numPr>
                <w:ilvl w:val="1"/>
                <w:numId w:val="20"/>
              </w:numPr>
              <w:rPr>
                <w:rFonts w:asciiTheme="minorHAnsi" w:hAnsiTheme="minorHAnsi"/>
                <w:sz w:val="22"/>
                <w:szCs w:val="22"/>
              </w:rPr>
            </w:pPr>
            <w:r w:rsidRPr="00441150">
              <w:rPr>
                <w:rFonts w:asciiTheme="minorHAnsi" w:hAnsiTheme="minorHAnsi"/>
                <w:sz w:val="22"/>
                <w:szCs w:val="22"/>
              </w:rPr>
              <w:t>What to do with funds from the DSRIP pool not allocated to continuing projects</w:t>
            </w:r>
          </w:p>
          <w:p w:rsidR="002D60D9" w:rsidRPr="00441150" w:rsidRDefault="002D60D9" w:rsidP="00441150">
            <w:pPr>
              <w:pStyle w:val="ListParagraph"/>
              <w:numPr>
                <w:ilvl w:val="1"/>
                <w:numId w:val="20"/>
              </w:numPr>
              <w:rPr>
                <w:rFonts w:asciiTheme="minorHAnsi" w:hAnsiTheme="minorHAnsi"/>
                <w:sz w:val="22"/>
                <w:szCs w:val="22"/>
              </w:rPr>
            </w:pPr>
            <w:r w:rsidRPr="00441150">
              <w:rPr>
                <w:rFonts w:asciiTheme="minorHAnsi" w:hAnsiTheme="minorHAnsi"/>
                <w:sz w:val="22"/>
                <w:szCs w:val="22"/>
              </w:rPr>
              <w:t>Work to streamline the DSRIP program to less</w:t>
            </w:r>
            <w:r w:rsidR="00F91B9C">
              <w:rPr>
                <w:rFonts w:asciiTheme="minorHAnsi" w:hAnsiTheme="minorHAnsi"/>
                <w:sz w:val="22"/>
                <w:szCs w:val="22"/>
              </w:rPr>
              <w:t>e</w:t>
            </w:r>
            <w:r w:rsidRPr="00441150">
              <w:rPr>
                <w:rFonts w:asciiTheme="minorHAnsi" w:hAnsiTheme="minorHAnsi"/>
                <w:sz w:val="22"/>
                <w:szCs w:val="22"/>
              </w:rPr>
              <w:t xml:space="preserve">n </w:t>
            </w:r>
            <w:r w:rsidR="00F91B9C">
              <w:rPr>
                <w:rFonts w:asciiTheme="minorHAnsi" w:hAnsiTheme="minorHAnsi"/>
                <w:sz w:val="22"/>
                <w:szCs w:val="22"/>
              </w:rPr>
              <w:t xml:space="preserve">the </w:t>
            </w:r>
            <w:r w:rsidRPr="00441150">
              <w:rPr>
                <w:rFonts w:asciiTheme="minorHAnsi" w:hAnsiTheme="minorHAnsi"/>
                <w:sz w:val="22"/>
                <w:szCs w:val="22"/>
              </w:rPr>
              <w:t>administrative burden on providers while focusing on collecting the most important types of information.</w:t>
            </w:r>
          </w:p>
          <w:p w:rsidR="00EC501F" w:rsidRPr="00441150" w:rsidRDefault="002D60D9" w:rsidP="00441150">
            <w:pPr>
              <w:pStyle w:val="ListParagraph"/>
              <w:numPr>
                <w:ilvl w:val="1"/>
                <w:numId w:val="20"/>
              </w:numPr>
              <w:rPr>
                <w:rFonts w:asciiTheme="minorHAnsi" w:hAnsiTheme="minorHAnsi"/>
                <w:sz w:val="22"/>
                <w:szCs w:val="22"/>
              </w:rPr>
            </w:pPr>
            <w:r w:rsidRPr="00441150">
              <w:rPr>
                <w:rFonts w:asciiTheme="minorHAnsi" w:hAnsiTheme="minorHAnsi"/>
                <w:sz w:val="22"/>
                <w:szCs w:val="22"/>
              </w:rPr>
              <w:t>Further integrate efforts with Texas Medicaid managed care quality strategy and other value-based payment efforts.</w:t>
            </w:r>
          </w:p>
          <w:p w:rsidR="00EC501F" w:rsidRPr="00441150" w:rsidRDefault="00EC501F" w:rsidP="00441150">
            <w:pPr>
              <w:pStyle w:val="ListParagraph"/>
              <w:numPr>
                <w:ilvl w:val="0"/>
                <w:numId w:val="20"/>
              </w:numPr>
              <w:rPr>
                <w:rFonts w:asciiTheme="minorHAnsi" w:hAnsiTheme="minorHAnsi"/>
                <w:sz w:val="22"/>
                <w:szCs w:val="22"/>
              </w:rPr>
            </w:pPr>
            <w:r w:rsidRPr="00441150">
              <w:rPr>
                <w:rFonts w:asciiTheme="minorHAnsi" w:hAnsiTheme="minorHAnsi"/>
                <w:sz w:val="22"/>
                <w:szCs w:val="22"/>
              </w:rPr>
              <w:t>HHSC plans to have a draft of the Waiver Extension/Renewal for public review in June 2015 and plans for public meetings in July 2015. We will communicate dates and locations as soon as available.</w:t>
            </w:r>
          </w:p>
          <w:p w:rsidR="002D60D9" w:rsidRDefault="002D60D9" w:rsidP="00441150">
            <w:pPr>
              <w:rPr>
                <w:rFonts w:asciiTheme="minorHAnsi" w:hAnsiTheme="minorHAnsi"/>
                <w:sz w:val="22"/>
                <w:szCs w:val="22"/>
              </w:rPr>
            </w:pPr>
          </w:p>
          <w:p w:rsidR="002D60D9" w:rsidRDefault="002D60D9" w:rsidP="00441150">
            <w:pPr>
              <w:rPr>
                <w:rFonts w:asciiTheme="minorHAnsi" w:hAnsiTheme="minorHAnsi"/>
                <w:sz w:val="22"/>
                <w:szCs w:val="22"/>
              </w:rPr>
            </w:pPr>
            <w:r w:rsidRPr="00441150">
              <w:rPr>
                <w:rFonts w:asciiTheme="minorHAnsi" w:hAnsiTheme="minorHAnsi"/>
                <w:b/>
                <w:sz w:val="22"/>
                <w:szCs w:val="22"/>
              </w:rPr>
              <w:t xml:space="preserve">Value Based Payments </w:t>
            </w:r>
            <w:r w:rsidR="00441150">
              <w:rPr>
                <w:rFonts w:asciiTheme="minorHAnsi" w:hAnsiTheme="minorHAnsi"/>
                <w:b/>
                <w:sz w:val="22"/>
                <w:szCs w:val="22"/>
              </w:rPr>
              <w:t>S</w:t>
            </w:r>
            <w:r w:rsidRPr="00441150">
              <w:rPr>
                <w:rFonts w:asciiTheme="minorHAnsi" w:hAnsiTheme="minorHAnsi"/>
                <w:b/>
                <w:sz w:val="22"/>
                <w:szCs w:val="22"/>
              </w:rPr>
              <w:t>tructure</w:t>
            </w:r>
            <w:r>
              <w:rPr>
                <w:rFonts w:asciiTheme="minorHAnsi" w:hAnsiTheme="minorHAnsi"/>
                <w:sz w:val="22"/>
                <w:szCs w:val="22"/>
              </w:rPr>
              <w:t xml:space="preserve"> </w:t>
            </w:r>
          </w:p>
          <w:p w:rsidR="00441150" w:rsidRDefault="00146C6F" w:rsidP="00441150">
            <w:pPr>
              <w:pStyle w:val="ListParagraph"/>
              <w:numPr>
                <w:ilvl w:val="0"/>
                <w:numId w:val="19"/>
              </w:numPr>
              <w:rPr>
                <w:rFonts w:asciiTheme="minorHAnsi" w:hAnsiTheme="minorHAnsi"/>
                <w:sz w:val="22"/>
                <w:szCs w:val="22"/>
              </w:rPr>
            </w:pPr>
            <w:r>
              <w:rPr>
                <w:rFonts w:asciiTheme="minorHAnsi" w:hAnsiTheme="minorHAnsi"/>
                <w:sz w:val="22"/>
                <w:szCs w:val="22"/>
              </w:rPr>
              <w:t>HHSC is</w:t>
            </w:r>
            <w:r w:rsidRPr="00441150">
              <w:rPr>
                <w:rFonts w:asciiTheme="minorHAnsi" w:hAnsiTheme="minorHAnsi"/>
                <w:sz w:val="22"/>
                <w:szCs w:val="22"/>
              </w:rPr>
              <w:t xml:space="preserve"> reaching out to DSRIP projects and MCOs for examples and/or input in order to develop a model </w:t>
            </w:r>
            <w:r>
              <w:rPr>
                <w:rFonts w:asciiTheme="minorHAnsi" w:hAnsiTheme="minorHAnsi"/>
                <w:sz w:val="22"/>
                <w:szCs w:val="22"/>
              </w:rPr>
              <w:t>for</w:t>
            </w:r>
            <w:r w:rsidRPr="00441150">
              <w:rPr>
                <w:rFonts w:asciiTheme="minorHAnsi" w:hAnsiTheme="minorHAnsi"/>
                <w:sz w:val="22"/>
                <w:szCs w:val="22"/>
              </w:rPr>
              <w:t xml:space="preserve"> implement</w:t>
            </w:r>
            <w:r>
              <w:rPr>
                <w:rFonts w:asciiTheme="minorHAnsi" w:hAnsiTheme="minorHAnsi"/>
                <w:sz w:val="22"/>
                <w:szCs w:val="22"/>
              </w:rPr>
              <w:t>ing</w:t>
            </w:r>
            <w:r w:rsidRPr="00441150">
              <w:rPr>
                <w:rFonts w:asciiTheme="minorHAnsi" w:hAnsiTheme="minorHAnsi"/>
                <w:sz w:val="22"/>
                <w:szCs w:val="22"/>
              </w:rPr>
              <w:t xml:space="preserve"> Value-Based Payments in Medicaid managed care. We are looking for good data and concrete steps that projects have used/are using for VBP arrangements with MCOs. </w:t>
            </w:r>
          </w:p>
          <w:p w:rsidR="00146C6F" w:rsidRPr="00441150" w:rsidRDefault="00441150" w:rsidP="00441150">
            <w:pPr>
              <w:pStyle w:val="ListParagraph"/>
              <w:numPr>
                <w:ilvl w:val="0"/>
                <w:numId w:val="19"/>
              </w:numPr>
              <w:rPr>
                <w:rFonts w:asciiTheme="minorHAnsi" w:hAnsiTheme="minorHAnsi"/>
                <w:sz w:val="22"/>
                <w:szCs w:val="22"/>
              </w:rPr>
            </w:pPr>
            <w:r>
              <w:rPr>
                <w:rFonts w:asciiTheme="minorHAnsi" w:hAnsiTheme="minorHAnsi"/>
                <w:sz w:val="22"/>
                <w:szCs w:val="22"/>
              </w:rPr>
              <w:t>HHSC</w:t>
            </w:r>
            <w:r w:rsidR="00146C6F" w:rsidRPr="00441150">
              <w:rPr>
                <w:rFonts w:asciiTheme="minorHAnsi" w:hAnsiTheme="minorHAnsi"/>
                <w:sz w:val="22"/>
                <w:szCs w:val="22"/>
              </w:rPr>
              <w:t xml:space="preserve"> sent out an email on April 10 with contact information for sharing ideas: HPCS_Quality@hhsc.state.tx.us.</w:t>
            </w:r>
          </w:p>
          <w:p w:rsidR="00146C6F" w:rsidRDefault="00146C6F" w:rsidP="00441150">
            <w:pPr>
              <w:rPr>
                <w:rFonts w:asciiTheme="minorHAnsi" w:hAnsiTheme="minorHAnsi"/>
                <w:sz w:val="22"/>
                <w:szCs w:val="22"/>
              </w:rPr>
            </w:pPr>
          </w:p>
          <w:p w:rsidR="002D60D9" w:rsidRDefault="002D60D9" w:rsidP="00441150">
            <w:pPr>
              <w:rPr>
                <w:rFonts w:asciiTheme="minorHAnsi" w:hAnsiTheme="minorHAnsi"/>
                <w:sz w:val="22"/>
                <w:szCs w:val="22"/>
              </w:rPr>
            </w:pPr>
          </w:p>
          <w:p w:rsidR="00441150" w:rsidRDefault="00441150" w:rsidP="00441150">
            <w:pPr>
              <w:rPr>
                <w:rFonts w:asciiTheme="minorHAnsi" w:hAnsiTheme="minorHAnsi"/>
                <w:b/>
                <w:sz w:val="22"/>
                <w:szCs w:val="22"/>
              </w:rPr>
            </w:pPr>
          </w:p>
          <w:p w:rsidR="002D60D9" w:rsidRPr="00441150" w:rsidRDefault="00470DC7" w:rsidP="00441150">
            <w:pPr>
              <w:rPr>
                <w:rFonts w:asciiTheme="minorHAnsi" w:hAnsiTheme="minorHAnsi"/>
                <w:b/>
                <w:sz w:val="22"/>
                <w:szCs w:val="22"/>
              </w:rPr>
            </w:pPr>
            <w:r w:rsidRPr="00441150">
              <w:rPr>
                <w:rFonts w:asciiTheme="minorHAnsi" w:hAnsiTheme="minorHAnsi"/>
                <w:b/>
                <w:sz w:val="22"/>
                <w:szCs w:val="22"/>
              </w:rPr>
              <w:lastRenderedPageBreak/>
              <w:t>Clinical Champions</w:t>
            </w:r>
          </w:p>
          <w:p w:rsidR="00441150" w:rsidRDefault="00470DC7" w:rsidP="00441150">
            <w:pPr>
              <w:pStyle w:val="ListParagraph"/>
              <w:numPr>
                <w:ilvl w:val="0"/>
                <w:numId w:val="21"/>
              </w:numPr>
              <w:rPr>
                <w:rFonts w:asciiTheme="minorHAnsi" w:hAnsiTheme="minorHAnsi"/>
                <w:sz w:val="22"/>
                <w:szCs w:val="22"/>
              </w:rPr>
            </w:pPr>
            <w:r w:rsidRPr="00441150">
              <w:rPr>
                <w:rFonts w:asciiTheme="minorHAnsi" w:hAnsiTheme="minorHAnsi"/>
                <w:sz w:val="22"/>
                <w:szCs w:val="22"/>
              </w:rPr>
              <w:t>This group will have their 3</w:t>
            </w:r>
            <w:r w:rsidRPr="00441150">
              <w:rPr>
                <w:rFonts w:asciiTheme="minorHAnsi" w:hAnsiTheme="minorHAnsi"/>
                <w:sz w:val="22"/>
                <w:szCs w:val="22"/>
                <w:vertAlign w:val="superscript"/>
              </w:rPr>
              <w:t>rd</w:t>
            </w:r>
            <w:r w:rsidRPr="00441150">
              <w:rPr>
                <w:rFonts w:asciiTheme="minorHAnsi" w:hAnsiTheme="minorHAnsi"/>
                <w:sz w:val="22"/>
                <w:szCs w:val="22"/>
              </w:rPr>
              <w:t xml:space="preserve"> meeting next week</w:t>
            </w:r>
            <w:r w:rsidR="00441150">
              <w:rPr>
                <w:rFonts w:asciiTheme="minorHAnsi" w:hAnsiTheme="minorHAnsi"/>
                <w:sz w:val="22"/>
                <w:szCs w:val="22"/>
              </w:rPr>
              <w:t xml:space="preserve"> (April 23</w:t>
            </w:r>
            <w:r w:rsidR="00441150" w:rsidRPr="00441150">
              <w:rPr>
                <w:rFonts w:asciiTheme="minorHAnsi" w:hAnsiTheme="minorHAnsi"/>
                <w:sz w:val="22"/>
                <w:szCs w:val="22"/>
                <w:vertAlign w:val="superscript"/>
              </w:rPr>
              <w:t>rd</w:t>
            </w:r>
            <w:r w:rsidR="00441150">
              <w:rPr>
                <w:rFonts w:asciiTheme="minorHAnsi" w:hAnsiTheme="minorHAnsi"/>
                <w:sz w:val="22"/>
                <w:szCs w:val="22"/>
              </w:rPr>
              <w:t>)</w:t>
            </w:r>
            <w:r w:rsidRPr="00441150">
              <w:rPr>
                <w:rFonts w:asciiTheme="minorHAnsi" w:hAnsiTheme="minorHAnsi"/>
                <w:sz w:val="22"/>
                <w:szCs w:val="22"/>
              </w:rPr>
              <w:t xml:space="preserve"> and will focus on a process to assess the transformational potential</w:t>
            </w:r>
            <w:r w:rsidR="00F91B9C">
              <w:rPr>
                <w:rFonts w:asciiTheme="minorHAnsi" w:hAnsiTheme="minorHAnsi"/>
                <w:sz w:val="22"/>
                <w:szCs w:val="22"/>
              </w:rPr>
              <w:t xml:space="preserve"> of DSRIP projects</w:t>
            </w:r>
            <w:r w:rsidRPr="00441150">
              <w:rPr>
                <w:rFonts w:asciiTheme="minorHAnsi" w:hAnsiTheme="minorHAnsi"/>
                <w:sz w:val="22"/>
                <w:szCs w:val="22"/>
              </w:rPr>
              <w:t xml:space="preserve"> from a clinical and quality perspective. The work of this group is </w:t>
            </w:r>
            <w:proofErr w:type="gramStart"/>
            <w:r w:rsidRPr="00441150">
              <w:rPr>
                <w:rFonts w:asciiTheme="minorHAnsi" w:hAnsiTheme="minorHAnsi"/>
                <w:sz w:val="22"/>
                <w:szCs w:val="22"/>
              </w:rPr>
              <w:t>key</w:t>
            </w:r>
            <w:proofErr w:type="gramEnd"/>
            <w:r w:rsidRPr="00441150">
              <w:rPr>
                <w:rFonts w:asciiTheme="minorHAnsi" w:hAnsiTheme="minorHAnsi"/>
                <w:sz w:val="22"/>
                <w:szCs w:val="22"/>
              </w:rPr>
              <w:t xml:space="preserve"> for demonstrating to CMS the benefit of the investment these projects have for patient care. </w:t>
            </w:r>
          </w:p>
          <w:p w:rsidR="00470DC7" w:rsidRPr="00441150" w:rsidRDefault="00470DC7" w:rsidP="00441150">
            <w:pPr>
              <w:pStyle w:val="ListParagraph"/>
              <w:numPr>
                <w:ilvl w:val="0"/>
                <w:numId w:val="21"/>
              </w:numPr>
              <w:rPr>
                <w:rFonts w:asciiTheme="minorHAnsi" w:hAnsiTheme="minorHAnsi"/>
                <w:sz w:val="22"/>
                <w:szCs w:val="22"/>
              </w:rPr>
            </w:pPr>
            <w:r w:rsidRPr="00441150">
              <w:rPr>
                <w:rFonts w:asciiTheme="minorHAnsi" w:hAnsiTheme="minorHAnsi"/>
                <w:sz w:val="22"/>
                <w:szCs w:val="22"/>
              </w:rPr>
              <w:t xml:space="preserve">The work of the Clinical Champions will continue through the summer and fall to continue to assist with the evolution of DSRIP for both the Medicaid and Low Income Uninsured populations. </w:t>
            </w:r>
          </w:p>
          <w:p w:rsidR="00A507CE" w:rsidRDefault="00A507CE" w:rsidP="004B4CF2">
            <w:pPr>
              <w:rPr>
                <w:rFonts w:asciiTheme="minorHAnsi" w:hAnsiTheme="minorHAnsi" w:cstheme="minorHAnsi"/>
                <w:b/>
                <w:sz w:val="22"/>
                <w:szCs w:val="22"/>
              </w:rPr>
            </w:pPr>
          </w:p>
          <w:p w:rsidR="004B4CF2" w:rsidRDefault="00924CA6" w:rsidP="001B1790">
            <w:pPr>
              <w:rPr>
                <w:rFonts w:asciiTheme="minorHAnsi" w:hAnsiTheme="minorHAnsi" w:cstheme="minorHAnsi"/>
                <w:b/>
                <w:sz w:val="22"/>
                <w:szCs w:val="22"/>
              </w:rPr>
            </w:pPr>
            <w:r w:rsidRPr="00924CA6">
              <w:rPr>
                <w:rFonts w:asciiTheme="minorHAnsi" w:hAnsiTheme="minorHAnsi" w:cstheme="minorHAnsi"/>
                <w:b/>
                <w:sz w:val="22"/>
                <w:szCs w:val="22"/>
              </w:rPr>
              <w:t>Submission of updated RHP Plans</w:t>
            </w:r>
          </w:p>
          <w:p w:rsidR="00ED658C" w:rsidRPr="00441150" w:rsidRDefault="003A489E" w:rsidP="00ED658C">
            <w:pPr>
              <w:pStyle w:val="ListParagraph"/>
              <w:numPr>
                <w:ilvl w:val="0"/>
                <w:numId w:val="5"/>
              </w:numPr>
              <w:rPr>
                <w:rFonts w:asciiTheme="minorHAnsi" w:hAnsiTheme="minorHAnsi" w:cstheme="minorHAnsi"/>
                <w:b/>
                <w:sz w:val="22"/>
                <w:szCs w:val="22"/>
              </w:rPr>
            </w:pPr>
            <w:r>
              <w:rPr>
                <w:rFonts w:asciiTheme="minorHAnsi" w:hAnsiTheme="minorHAnsi" w:cstheme="minorHAnsi"/>
                <w:sz w:val="22"/>
                <w:szCs w:val="22"/>
              </w:rPr>
              <w:t>HHSC sent out a final process for submission of updated RHP Plans on April 9</w:t>
            </w:r>
            <w:r w:rsidRPr="003A489E">
              <w:rPr>
                <w:rFonts w:asciiTheme="minorHAnsi" w:hAnsiTheme="minorHAnsi" w:cstheme="minorHAnsi"/>
                <w:sz w:val="22"/>
                <w:szCs w:val="22"/>
                <w:vertAlign w:val="superscript"/>
              </w:rPr>
              <w:t>th</w:t>
            </w:r>
            <w:r>
              <w:rPr>
                <w:rFonts w:asciiTheme="minorHAnsi" w:hAnsiTheme="minorHAnsi" w:cstheme="minorHAnsi"/>
                <w:sz w:val="22"/>
                <w:szCs w:val="22"/>
              </w:rPr>
              <w:t>, along with the matrix for categorizing RHP projects by project types an</w:t>
            </w:r>
            <w:bookmarkStart w:id="0" w:name="_GoBack"/>
            <w:bookmarkEnd w:id="0"/>
            <w:r>
              <w:rPr>
                <w:rFonts w:asciiTheme="minorHAnsi" w:hAnsiTheme="minorHAnsi" w:cstheme="minorHAnsi"/>
                <w:sz w:val="22"/>
                <w:szCs w:val="22"/>
              </w:rPr>
              <w:t>d the RHP certification forms.  The deadline for submission of these completed forms to HHSC is May 15</w:t>
            </w:r>
            <w:r w:rsidRPr="003A489E">
              <w:rPr>
                <w:rFonts w:asciiTheme="minorHAnsi" w:hAnsiTheme="minorHAnsi" w:cstheme="minorHAnsi"/>
                <w:sz w:val="22"/>
                <w:szCs w:val="22"/>
                <w:vertAlign w:val="superscript"/>
              </w:rPr>
              <w:t>th</w:t>
            </w:r>
            <w:r>
              <w:rPr>
                <w:rFonts w:asciiTheme="minorHAnsi" w:hAnsiTheme="minorHAnsi" w:cstheme="minorHAnsi"/>
                <w:sz w:val="22"/>
                <w:szCs w:val="22"/>
              </w:rPr>
              <w:t>. Please let us know if you have any questions or need an extension.</w:t>
            </w:r>
            <w:r w:rsidR="00E101D8">
              <w:rPr>
                <w:rFonts w:asciiTheme="minorHAnsi" w:hAnsiTheme="minorHAnsi" w:cstheme="minorHAnsi"/>
                <w:sz w:val="22"/>
                <w:szCs w:val="22"/>
              </w:rPr>
              <w:t xml:space="preserve">  </w:t>
            </w:r>
          </w:p>
          <w:p w:rsidR="005D541D" w:rsidRDefault="005D541D" w:rsidP="005D541D">
            <w:pPr>
              <w:rPr>
                <w:rFonts w:cs="Tahoma"/>
              </w:rPr>
            </w:pPr>
          </w:p>
          <w:p w:rsidR="00ED658C" w:rsidRDefault="00ED658C" w:rsidP="00ED658C">
            <w:pPr>
              <w:rPr>
                <w:rFonts w:asciiTheme="minorHAnsi" w:hAnsiTheme="minorHAnsi" w:cstheme="minorHAnsi"/>
                <w:b/>
                <w:sz w:val="22"/>
                <w:szCs w:val="22"/>
              </w:rPr>
            </w:pPr>
            <w:r>
              <w:rPr>
                <w:rFonts w:asciiTheme="minorHAnsi" w:hAnsiTheme="minorHAnsi" w:cstheme="minorHAnsi"/>
                <w:b/>
                <w:sz w:val="22"/>
                <w:szCs w:val="22"/>
              </w:rPr>
              <w:t xml:space="preserve">DSRIP </w:t>
            </w:r>
            <w:r w:rsidR="00405C55">
              <w:rPr>
                <w:rFonts w:asciiTheme="minorHAnsi" w:hAnsiTheme="minorHAnsi" w:cstheme="minorHAnsi"/>
                <w:b/>
                <w:sz w:val="22"/>
                <w:szCs w:val="22"/>
              </w:rPr>
              <w:t>Statewide Events Calendar</w:t>
            </w:r>
            <w:r>
              <w:rPr>
                <w:rFonts w:asciiTheme="minorHAnsi" w:hAnsiTheme="minorHAnsi" w:cstheme="minorHAnsi"/>
                <w:b/>
                <w:sz w:val="22"/>
                <w:szCs w:val="22"/>
              </w:rPr>
              <w:t xml:space="preserve"> </w:t>
            </w:r>
          </w:p>
          <w:p w:rsidR="00441150" w:rsidRDefault="00405C55" w:rsidP="00441150">
            <w:pPr>
              <w:pStyle w:val="ListParagraph"/>
              <w:numPr>
                <w:ilvl w:val="0"/>
                <w:numId w:val="5"/>
              </w:numPr>
              <w:rPr>
                <w:rFonts w:asciiTheme="minorHAnsi" w:hAnsiTheme="minorHAnsi" w:cstheme="minorHAnsi"/>
                <w:sz w:val="22"/>
                <w:szCs w:val="22"/>
              </w:rPr>
            </w:pPr>
            <w:r w:rsidRPr="00441150">
              <w:rPr>
                <w:rFonts w:asciiTheme="minorHAnsi" w:hAnsiTheme="minorHAnsi" w:cstheme="minorHAnsi"/>
                <w:sz w:val="22"/>
                <w:szCs w:val="22"/>
              </w:rPr>
              <w:t>HHSC would like to start</w:t>
            </w:r>
            <w:r w:rsidR="00ED658C" w:rsidRPr="00441150">
              <w:rPr>
                <w:rFonts w:asciiTheme="minorHAnsi" w:hAnsiTheme="minorHAnsi" w:cstheme="minorHAnsi"/>
                <w:sz w:val="22"/>
                <w:szCs w:val="22"/>
              </w:rPr>
              <w:t xml:space="preserve"> using the Anchor notes to send frequent updates on </w:t>
            </w:r>
            <w:r w:rsidRPr="00441150">
              <w:rPr>
                <w:rFonts w:asciiTheme="minorHAnsi" w:hAnsiTheme="minorHAnsi" w:cstheme="minorHAnsi"/>
                <w:sz w:val="22"/>
                <w:szCs w:val="22"/>
              </w:rPr>
              <w:t xml:space="preserve">upcoming </w:t>
            </w:r>
            <w:r w:rsidR="00ED658C" w:rsidRPr="00441150">
              <w:rPr>
                <w:rFonts w:asciiTheme="minorHAnsi" w:hAnsiTheme="minorHAnsi" w:cstheme="minorHAnsi"/>
                <w:sz w:val="22"/>
                <w:szCs w:val="22"/>
              </w:rPr>
              <w:t>regional and subject specific learning collaborative</w:t>
            </w:r>
            <w:r w:rsidRPr="00441150">
              <w:rPr>
                <w:rFonts w:asciiTheme="minorHAnsi" w:hAnsiTheme="minorHAnsi" w:cstheme="minorHAnsi"/>
                <w:sz w:val="22"/>
                <w:szCs w:val="22"/>
              </w:rPr>
              <w:t>s</w:t>
            </w:r>
            <w:r w:rsidR="00ED658C" w:rsidRPr="00441150">
              <w:rPr>
                <w:rFonts w:asciiTheme="minorHAnsi" w:hAnsiTheme="minorHAnsi" w:cstheme="minorHAnsi"/>
                <w:sz w:val="22"/>
                <w:szCs w:val="22"/>
              </w:rPr>
              <w:t xml:space="preserve">. If you have a subject specific learning collaborative (a behavioral health or readmissions learning collaborative, for example) that has </w:t>
            </w:r>
            <w:r w:rsidRPr="00441150">
              <w:rPr>
                <w:rFonts w:asciiTheme="minorHAnsi" w:hAnsiTheme="minorHAnsi" w:cstheme="minorHAnsi"/>
                <w:sz w:val="22"/>
                <w:szCs w:val="22"/>
              </w:rPr>
              <w:t>a</w:t>
            </w:r>
            <w:r w:rsidR="00ED658C" w:rsidRPr="00441150">
              <w:rPr>
                <w:rFonts w:asciiTheme="minorHAnsi" w:hAnsiTheme="minorHAnsi" w:cstheme="minorHAnsi"/>
                <w:sz w:val="22"/>
                <w:szCs w:val="22"/>
              </w:rPr>
              <w:t xml:space="preserve"> call or meeting scheduled in the next several months, and you would like to make that call or meeting available to interested DSRIP providers statewide, please send an email to</w:t>
            </w:r>
            <w:r w:rsidR="00ED658C" w:rsidRPr="00441150">
              <w:t xml:space="preserve"> </w:t>
            </w:r>
            <w:hyperlink r:id="rId10" w:history="1">
              <w:r w:rsidR="00ED658C" w:rsidRPr="00441150">
                <w:rPr>
                  <w:rStyle w:val="Hyperlink"/>
                  <w:rFonts w:asciiTheme="minorHAnsi" w:hAnsiTheme="minorHAnsi" w:cstheme="minorHAnsi"/>
                  <w:sz w:val="22"/>
                  <w:szCs w:val="22"/>
                </w:rPr>
                <w:t>TXHealthcareTransformation@hhsc.state.tx.us</w:t>
              </w:r>
            </w:hyperlink>
            <w:r w:rsidR="00ED658C" w:rsidRPr="00441150">
              <w:rPr>
                <w:rFonts w:asciiTheme="minorHAnsi" w:hAnsiTheme="minorHAnsi" w:cstheme="minorHAnsi"/>
                <w:sz w:val="22"/>
                <w:szCs w:val="22"/>
              </w:rPr>
              <w:t xml:space="preserve"> and include the date, description, and contact information for your event. </w:t>
            </w:r>
          </w:p>
          <w:p w:rsidR="00ED658C" w:rsidRPr="00441150" w:rsidRDefault="00405C55" w:rsidP="00441150">
            <w:pPr>
              <w:pStyle w:val="ListParagraph"/>
              <w:numPr>
                <w:ilvl w:val="0"/>
                <w:numId w:val="5"/>
              </w:numPr>
              <w:rPr>
                <w:rFonts w:asciiTheme="minorHAnsi" w:hAnsiTheme="minorHAnsi" w:cstheme="minorHAnsi"/>
                <w:sz w:val="22"/>
                <w:szCs w:val="22"/>
              </w:rPr>
            </w:pPr>
            <w:r w:rsidRPr="00441150">
              <w:rPr>
                <w:rFonts w:asciiTheme="minorHAnsi" w:hAnsiTheme="minorHAnsi" w:cstheme="minorHAnsi"/>
                <w:sz w:val="22"/>
                <w:szCs w:val="22"/>
              </w:rPr>
              <w:t>In the future, HHSC will be sending a monthly statewide DSRIP events calendar along with the Anchor notes.</w:t>
            </w:r>
            <w:r w:rsidR="00914660" w:rsidRPr="00441150">
              <w:rPr>
                <w:rFonts w:asciiTheme="minorHAnsi" w:hAnsiTheme="minorHAnsi" w:cstheme="minorHAnsi"/>
                <w:sz w:val="22"/>
                <w:szCs w:val="22"/>
              </w:rPr>
              <w:t xml:space="preserve"> We will also post the calendar on the waiver website. </w:t>
            </w:r>
            <w:r w:rsidRPr="00441150">
              <w:rPr>
                <w:rFonts w:asciiTheme="minorHAnsi" w:hAnsiTheme="minorHAnsi" w:cstheme="minorHAnsi"/>
                <w:sz w:val="22"/>
                <w:szCs w:val="22"/>
              </w:rPr>
              <w:t xml:space="preserve"> </w:t>
            </w:r>
          </w:p>
          <w:p w:rsidR="00ED658C" w:rsidRDefault="00ED658C" w:rsidP="00ED658C">
            <w:pPr>
              <w:rPr>
                <w:rFonts w:asciiTheme="minorHAnsi" w:hAnsiTheme="minorHAnsi" w:cstheme="minorHAnsi"/>
                <w:b/>
                <w:sz w:val="22"/>
                <w:szCs w:val="22"/>
              </w:rPr>
            </w:pPr>
          </w:p>
          <w:p w:rsidR="00504D78" w:rsidRDefault="00504D78" w:rsidP="00ED658C">
            <w:pPr>
              <w:rPr>
                <w:rFonts w:asciiTheme="minorHAnsi" w:hAnsiTheme="minorHAnsi" w:cstheme="minorHAnsi"/>
                <w:b/>
                <w:sz w:val="22"/>
                <w:szCs w:val="22"/>
              </w:rPr>
            </w:pPr>
            <w:r>
              <w:rPr>
                <w:rFonts w:asciiTheme="minorHAnsi" w:hAnsiTheme="minorHAnsi" w:cstheme="minorHAnsi"/>
                <w:b/>
                <w:sz w:val="22"/>
                <w:szCs w:val="22"/>
              </w:rPr>
              <w:t>Changes to Texas Medical Board Telemedicine Rules</w:t>
            </w:r>
          </w:p>
          <w:p w:rsidR="00504D78" w:rsidRPr="00441150" w:rsidRDefault="00504D78" w:rsidP="00441150">
            <w:pPr>
              <w:pStyle w:val="ListParagraph"/>
              <w:numPr>
                <w:ilvl w:val="0"/>
                <w:numId w:val="5"/>
              </w:numPr>
              <w:rPr>
                <w:rFonts w:asciiTheme="minorHAnsi" w:hAnsiTheme="minorHAnsi" w:cstheme="minorHAnsi"/>
                <w:sz w:val="22"/>
                <w:szCs w:val="22"/>
              </w:rPr>
            </w:pPr>
            <w:r w:rsidRPr="00441150">
              <w:rPr>
                <w:rFonts w:asciiTheme="minorHAnsi" w:hAnsiTheme="minorHAnsi" w:cstheme="minorHAnsi"/>
                <w:sz w:val="22"/>
                <w:szCs w:val="22"/>
              </w:rPr>
              <w:t xml:space="preserve">HHSC has received inquiries about how the recently approved TMB telemedicine changes might impact DSRIP projects. HHSC does not believe that the new TMB rules should limit the types of telemedicine being done through DSRIP. While HHSC Medicaid's telemedicine rules continue to apply, please see </w:t>
            </w:r>
            <w:hyperlink r:id="rId11" w:history="1">
              <w:r w:rsidRPr="00441150">
                <w:rPr>
                  <w:rStyle w:val="Hyperlink"/>
                  <w:rFonts w:asciiTheme="minorHAnsi" w:hAnsiTheme="minorHAnsi" w:cstheme="minorHAnsi"/>
                  <w:sz w:val="22"/>
                  <w:szCs w:val="22"/>
                </w:rPr>
                <w:t>http://www.tmb.state.tx.us/dl/DAD89645-F81F-CF51-6FF8-D0E20891625A</w:t>
              </w:r>
            </w:hyperlink>
            <w:r w:rsidRPr="00441150">
              <w:rPr>
                <w:rFonts w:asciiTheme="minorHAnsi" w:hAnsiTheme="minorHAnsi" w:cstheme="minorHAnsi"/>
                <w:sz w:val="22"/>
                <w:szCs w:val="22"/>
              </w:rPr>
              <w:t xml:space="preserve"> for a description in the changes to the TMB rules. </w:t>
            </w:r>
          </w:p>
          <w:p w:rsidR="005D541D" w:rsidRPr="005D541D" w:rsidRDefault="005D541D" w:rsidP="005D541D">
            <w:pPr>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ED658C" w:rsidRDefault="00ED658C" w:rsidP="003C794F">
            <w:pPr>
              <w:rPr>
                <w:rFonts w:asciiTheme="minorHAnsi" w:hAnsiTheme="minorHAnsi"/>
                <w:b/>
                <w:bCs/>
                <w:sz w:val="22"/>
                <w:szCs w:val="22"/>
              </w:rPr>
            </w:pPr>
          </w:p>
        </w:tc>
      </w:tr>
    </w:tbl>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12"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11" w:rsidRDefault="00CA3011">
      <w:r>
        <w:separator/>
      </w:r>
    </w:p>
  </w:endnote>
  <w:endnote w:type="continuationSeparator" w:id="0">
    <w:p w:rsidR="00CA3011" w:rsidRDefault="00C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11" w:rsidRDefault="00CA3011">
      <w:r>
        <w:separator/>
      </w:r>
    </w:p>
  </w:footnote>
  <w:footnote w:type="continuationSeparator" w:id="0">
    <w:p w:rsidR="00CA3011" w:rsidRDefault="00CA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FC" w:rsidRPr="00B00C71" w:rsidRDefault="00954EFC"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7420"/>
    <w:multiLevelType w:val="hybridMultilevel"/>
    <w:tmpl w:val="4F4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1">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18">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7E931BEC"/>
    <w:multiLevelType w:val="hybridMultilevel"/>
    <w:tmpl w:val="6E8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7"/>
  </w:num>
  <w:num w:numId="6">
    <w:abstractNumId w:val="14"/>
  </w:num>
  <w:num w:numId="7">
    <w:abstractNumId w:val="3"/>
  </w:num>
  <w:num w:numId="8">
    <w:abstractNumId w:val="6"/>
  </w:num>
  <w:num w:numId="9">
    <w:abstractNumId w:val="18"/>
  </w:num>
  <w:num w:numId="10">
    <w:abstractNumId w:val="19"/>
  </w:num>
  <w:num w:numId="11">
    <w:abstractNumId w:val="13"/>
  </w:num>
  <w:num w:numId="12">
    <w:abstractNumId w:val="1"/>
  </w:num>
  <w:num w:numId="13">
    <w:abstractNumId w:val="8"/>
  </w:num>
  <w:num w:numId="14">
    <w:abstractNumId w:val="4"/>
  </w:num>
  <w:num w:numId="15">
    <w:abstractNumId w:val="11"/>
  </w:num>
  <w:num w:numId="16">
    <w:abstractNumId w:val="9"/>
  </w:num>
  <w:num w:numId="17">
    <w:abstractNumId w:val="12"/>
  </w:num>
  <w:num w:numId="18">
    <w:abstractNumId w:val="16"/>
  </w:num>
  <w:num w:numId="19">
    <w:abstractNumId w:val="5"/>
  </w:num>
  <w:num w:numId="20">
    <w:abstractNumId w:val="15"/>
  </w:num>
  <w:num w:numId="21">
    <w:abstractNumId w:val="20"/>
  </w:num>
  <w:num w:numId="22">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11761"/>
    <w:rsid w:val="000126BA"/>
    <w:rsid w:val="0001270A"/>
    <w:rsid w:val="000142AA"/>
    <w:rsid w:val="00015182"/>
    <w:rsid w:val="000153FC"/>
    <w:rsid w:val="000204C1"/>
    <w:rsid w:val="00020EC9"/>
    <w:rsid w:val="00021251"/>
    <w:rsid w:val="00021A4A"/>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9109D"/>
    <w:rsid w:val="0009302A"/>
    <w:rsid w:val="00093048"/>
    <w:rsid w:val="0009494E"/>
    <w:rsid w:val="000A005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D006A"/>
    <w:rsid w:val="000D271E"/>
    <w:rsid w:val="000D77C8"/>
    <w:rsid w:val="000E0E18"/>
    <w:rsid w:val="000E180D"/>
    <w:rsid w:val="000E1B02"/>
    <w:rsid w:val="000E2E21"/>
    <w:rsid w:val="000E7DB2"/>
    <w:rsid w:val="000F0292"/>
    <w:rsid w:val="000F0964"/>
    <w:rsid w:val="000F5DA4"/>
    <w:rsid w:val="000F63F1"/>
    <w:rsid w:val="000F642B"/>
    <w:rsid w:val="00100BE3"/>
    <w:rsid w:val="0010185F"/>
    <w:rsid w:val="0010530D"/>
    <w:rsid w:val="00107A99"/>
    <w:rsid w:val="00115243"/>
    <w:rsid w:val="0011680C"/>
    <w:rsid w:val="0012478C"/>
    <w:rsid w:val="0012502E"/>
    <w:rsid w:val="0012533B"/>
    <w:rsid w:val="00125CD1"/>
    <w:rsid w:val="00125D67"/>
    <w:rsid w:val="0012664D"/>
    <w:rsid w:val="00132013"/>
    <w:rsid w:val="00134532"/>
    <w:rsid w:val="00134BAB"/>
    <w:rsid w:val="00134F92"/>
    <w:rsid w:val="0014437D"/>
    <w:rsid w:val="0014558F"/>
    <w:rsid w:val="00145C7E"/>
    <w:rsid w:val="00146508"/>
    <w:rsid w:val="00146C6F"/>
    <w:rsid w:val="0014723C"/>
    <w:rsid w:val="001502B6"/>
    <w:rsid w:val="00151F44"/>
    <w:rsid w:val="00153BC5"/>
    <w:rsid w:val="00154064"/>
    <w:rsid w:val="00155D49"/>
    <w:rsid w:val="00155E1D"/>
    <w:rsid w:val="00157B5E"/>
    <w:rsid w:val="001664F6"/>
    <w:rsid w:val="00167332"/>
    <w:rsid w:val="00170772"/>
    <w:rsid w:val="00170D0C"/>
    <w:rsid w:val="00171C6F"/>
    <w:rsid w:val="001726DC"/>
    <w:rsid w:val="001746D2"/>
    <w:rsid w:val="00174FD4"/>
    <w:rsid w:val="00176305"/>
    <w:rsid w:val="00176BBA"/>
    <w:rsid w:val="00177EBD"/>
    <w:rsid w:val="0018081E"/>
    <w:rsid w:val="001809BB"/>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C04FB"/>
    <w:rsid w:val="001C162F"/>
    <w:rsid w:val="001C1F50"/>
    <w:rsid w:val="001C40E3"/>
    <w:rsid w:val="001C64E0"/>
    <w:rsid w:val="001C68B9"/>
    <w:rsid w:val="001C6CB0"/>
    <w:rsid w:val="001D1A00"/>
    <w:rsid w:val="001D4022"/>
    <w:rsid w:val="001E04A0"/>
    <w:rsid w:val="001E267D"/>
    <w:rsid w:val="001E4141"/>
    <w:rsid w:val="001F1F8B"/>
    <w:rsid w:val="001F2678"/>
    <w:rsid w:val="001F27AD"/>
    <w:rsid w:val="001F2E68"/>
    <w:rsid w:val="001F2FE9"/>
    <w:rsid w:val="001F7A0C"/>
    <w:rsid w:val="001F7E7A"/>
    <w:rsid w:val="002009F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4FFF"/>
    <w:rsid w:val="0027620D"/>
    <w:rsid w:val="00277F15"/>
    <w:rsid w:val="00282343"/>
    <w:rsid w:val="00282D1E"/>
    <w:rsid w:val="0028333A"/>
    <w:rsid w:val="002836FC"/>
    <w:rsid w:val="00285CC4"/>
    <w:rsid w:val="00286DAC"/>
    <w:rsid w:val="002939E4"/>
    <w:rsid w:val="002942C9"/>
    <w:rsid w:val="00294C8C"/>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CC0"/>
    <w:rsid w:val="002C3348"/>
    <w:rsid w:val="002C5676"/>
    <w:rsid w:val="002C6D08"/>
    <w:rsid w:val="002D360A"/>
    <w:rsid w:val="002D3C7A"/>
    <w:rsid w:val="002D40F2"/>
    <w:rsid w:val="002D4DB8"/>
    <w:rsid w:val="002D4F18"/>
    <w:rsid w:val="002D60D9"/>
    <w:rsid w:val="002D65D7"/>
    <w:rsid w:val="002E0C29"/>
    <w:rsid w:val="002E246B"/>
    <w:rsid w:val="002E4A85"/>
    <w:rsid w:val="002F1C44"/>
    <w:rsid w:val="002F399B"/>
    <w:rsid w:val="002F4948"/>
    <w:rsid w:val="002F54BD"/>
    <w:rsid w:val="002F7B21"/>
    <w:rsid w:val="00300949"/>
    <w:rsid w:val="00302D10"/>
    <w:rsid w:val="00303F2D"/>
    <w:rsid w:val="0030446F"/>
    <w:rsid w:val="003078F9"/>
    <w:rsid w:val="00312067"/>
    <w:rsid w:val="003126B0"/>
    <w:rsid w:val="00313E46"/>
    <w:rsid w:val="00314257"/>
    <w:rsid w:val="00316123"/>
    <w:rsid w:val="003163A5"/>
    <w:rsid w:val="00316F1C"/>
    <w:rsid w:val="0032064E"/>
    <w:rsid w:val="0032074F"/>
    <w:rsid w:val="003235E6"/>
    <w:rsid w:val="0032361B"/>
    <w:rsid w:val="00323E05"/>
    <w:rsid w:val="003245B1"/>
    <w:rsid w:val="00331401"/>
    <w:rsid w:val="0033214C"/>
    <w:rsid w:val="00332D01"/>
    <w:rsid w:val="00332F6F"/>
    <w:rsid w:val="003340C3"/>
    <w:rsid w:val="003361A8"/>
    <w:rsid w:val="003368E6"/>
    <w:rsid w:val="0034192A"/>
    <w:rsid w:val="0034388E"/>
    <w:rsid w:val="00344F28"/>
    <w:rsid w:val="003454B3"/>
    <w:rsid w:val="003500C0"/>
    <w:rsid w:val="00350E78"/>
    <w:rsid w:val="0035329B"/>
    <w:rsid w:val="0035589C"/>
    <w:rsid w:val="00360180"/>
    <w:rsid w:val="003606A9"/>
    <w:rsid w:val="003614AD"/>
    <w:rsid w:val="00361854"/>
    <w:rsid w:val="003636B3"/>
    <w:rsid w:val="0036374E"/>
    <w:rsid w:val="0036375B"/>
    <w:rsid w:val="0036412E"/>
    <w:rsid w:val="003652C3"/>
    <w:rsid w:val="003653EE"/>
    <w:rsid w:val="00367394"/>
    <w:rsid w:val="00367BB8"/>
    <w:rsid w:val="0037075C"/>
    <w:rsid w:val="00370AA5"/>
    <w:rsid w:val="003711EE"/>
    <w:rsid w:val="00371338"/>
    <w:rsid w:val="00374710"/>
    <w:rsid w:val="00374869"/>
    <w:rsid w:val="00375410"/>
    <w:rsid w:val="00375CE6"/>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EE7"/>
    <w:rsid w:val="003A489E"/>
    <w:rsid w:val="003A5710"/>
    <w:rsid w:val="003A5FC3"/>
    <w:rsid w:val="003A73FC"/>
    <w:rsid w:val="003B3317"/>
    <w:rsid w:val="003B4A54"/>
    <w:rsid w:val="003B6B2B"/>
    <w:rsid w:val="003C09CF"/>
    <w:rsid w:val="003C497E"/>
    <w:rsid w:val="003C6E6F"/>
    <w:rsid w:val="003C794F"/>
    <w:rsid w:val="003D054B"/>
    <w:rsid w:val="003D20DD"/>
    <w:rsid w:val="003D2408"/>
    <w:rsid w:val="003D4922"/>
    <w:rsid w:val="003D6497"/>
    <w:rsid w:val="003D6644"/>
    <w:rsid w:val="003D71E6"/>
    <w:rsid w:val="003E0711"/>
    <w:rsid w:val="003E4595"/>
    <w:rsid w:val="003E57B8"/>
    <w:rsid w:val="003E5C8E"/>
    <w:rsid w:val="003E685E"/>
    <w:rsid w:val="003E7F76"/>
    <w:rsid w:val="003F1324"/>
    <w:rsid w:val="003F2C3B"/>
    <w:rsid w:val="003F6EDE"/>
    <w:rsid w:val="003F7565"/>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6AA4"/>
    <w:rsid w:val="00456BB3"/>
    <w:rsid w:val="00456E9D"/>
    <w:rsid w:val="004602DE"/>
    <w:rsid w:val="00460AD7"/>
    <w:rsid w:val="00463686"/>
    <w:rsid w:val="00463899"/>
    <w:rsid w:val="0046411A"/>
    <w:rsid w:val="0046609E"/>
    <w:rsid w:val="004660EA"/>
    <w:rsid w:val="00470BD5"/>
    <w:rsid w:val="00470DC7"/>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F10AC"/>
    <w:rsid w:val="004F3457"/>
    <w:rsid w:val="00503F82"/>
    <w:rsid w:val="005047E1"/>
    <w:rsid w:val="00504D78"/>
    <w:rsid w:val="00511214"/>
    <w:rsid w:val="00512907"/>
    <w:rsid w:val="005142C3"/>
    <w:rsid w:val="00515A27"/>
    <w:rsid w:val="0051794F"/>
    <w:rsid w:val="00520324"/>
    <w:rsid w:val="0052114F"/>
    <w:rsid w:val="005221AD"/>
    <w:rsid w:val="00523CE2"/>
    <w:rsid w:val="00530CD4"/>
    <w:rsid w:val="00532380"/>
    <w:rsid w:val="005330E7"/>
    <w:rsid w:val="00534D8E"/>
    <w:rsid w:val="00537F18"/>
    <w:rsid w:val="00541FA9"/>
    <w:rsid w:val="00544C03"/>
    <w:rsid w:val="00546B69"/>
    <w:rsid w:val="00553B03"/>
    <w:rsid w:val="005544CE"/>
    <w:rsid w:val="00554759"/>
    <w:rsid w:val="00555B70"/>
    <w:rsid w:val="005569BF"/>
    <w:rsid w:val="00560D63"/>
    <w:rsid w:val="005614E3"/>
    <w:rsid w:val="00561777"/>
    <w:rsid w:val="005662E7"/>
    <w:rsid w:val="005676D9"/>
    <w:rsid w:val="0056784E"/>
    <w:rsid w:val="00570D7F"/>
    <w:rsid w:val="00571168"/>
    <w:rsid w:val="0057383A"/>
    <w:rsid w:val="00575148"/>
    <w:rsid w:val="00575189"/>
    <w:rsid w:val="0058129A"/>
    <w:rsid w:val="00582626"/>
    <w:rsid w:val="0058592F"/>
    <w:rsid w:val="00585B28"/>
    <w:rsid w:val="00595F82"/>
    <w:rsid w:val="0059762D"/>
    <w:rsid w:val="005A2844"/>
    <w:rsid w:val="005A378D"/>
    <w:rsid w:val="005A5295"/>
    <w:rsid w:val="005A55C4"/>
    <w:rsid w:val="005A60FB"/>
    <w:rsid w:val="005A7375"/>
    <w:rsid w:val="005B20F8"/>
    <w:rsid w:val="005B3DB4"/>
    <w:rsid w:val="005B4BA2"/>
    <w:rsid w:val="005B7F53"/>
    <w:rsid w:val="005C202C"/>
    <w:rsid w:val="005C3247"/>
    <w:rsid w:val="005C366C"/>
    <w:rsid w:val="005C5DB0"/>
    <w:rsid w:val="005D3C3E"/>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24F0"/>
    <w:rsid w:val="00652808"/>
    <w:rsid w:val="00660B92"/>
    <w:rsid w:val="0066104A"/>
    <w:rsid w:val="006615AA"/>
    <w:rsid w:val="0066219B"/>
    <w:rsid w:val="00663D5E"/>
    <w:rsid w:val="00670EFB"/>
    <w:rsid w:val="0067184B"/>
    <w:rsid w:val="006779B2"/>
    <w:rsid w:val="00683027"/>
    <w:rsid w:val="00683875"/>
    <w:rsid w:val="00683982"/>
    <w:rsid w:val="00683E33"/>
    <w:rsid w:val="00683EBD"/>
    <w:rsid w:val="00685315"/>
    <w:rsid w:val="00685AE1"/>
    <w:rsid w:val="0068783E"/>
    <w:rsid w:val="006909D6"/>
    <w:rsid w:val="006915FA"/>
    <w:rsid w:val="006925D9"/>
    <w:rsid w:val="0069571B"/>
    <w:rsid w:val="006958E0"/>
    <w:rsid w:val="00697371"/>
    <w:rsid w:val="006A29E2"/>
    <w:rsid w:val="006A32AA"/>
    <w:rsid w:val="006A3825"/>
    <w:rsid w:val="006A7580"/>
    <w:rsid w:val="006B0C12"/>
    <w:rsid w:val="006B0E29"/>
    <w:rsid w:val="006B105E"/>
    <w:rsid w:val="006B3A44"/>
    <w:rsid w:val="006B68E6"/>
    <w:rsid w:val="006B6A9A"/>
    <w:rsid w:val="006B6CA7"/>
    <w:rsid w:val="006C01A8"/>
    <w:rsid w:val="006C17DA"/>
    <w:rsid w:val="006C39AA"/>
    <w:rsid w:val="006C3F48"/>
    <w:rsid w:val="006C5428"/>
    <w:rsid w:val="006C5986"/>
    <w:rsid w:val="006C708F"/>
    <w:rsid w:val="006D0C4C"/>
    <w:rsid w:val="006E0F93"/>
    <w:rsid w:val="006E3BD1"/>
    <w:rsid w:val="006E3DBA"/>
    <w:rsid w:val="006E4451"/>
    <w:rsid w:val="006E491A"/>
    <w:rsid w:val="006E572B"/>
    <w:rsid w:val="006E5882"/>
    <w:rsid w:val="006E6D03"/>
    <w:rsid w:val="006E6EF1"/>
    <w:rsid w:val="006E7A0B"/>
    <w:rsid w:val="006F169C"/>
    <w:rsid w:val="006F3C56"/>
    <w:rsid w:val="006F43CB"/>
    <w:rsid w:val="006F4A57"/>
    <w:rsid w:val="006F514A"/>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129B"/>
    <w:rsid w:val="00732FC1"/>
    <w:rsid w:val="00734574"/>
    <w:rsid w:val="00734C3F"/>
    <w:rsid w:val="00735E24"/>
    <w:rsid w:val="007364BC"/>
    <w:rsid w:val="00740417"/>
    <w:rsid w:val="00742029"/>
    <w:rsid w:val="0074241E"/>
    <w:rsid w:val="0074456D"/>
    <w:rsid w:val="00744946"/>
    <w:rsid w:val="0074561C"/>
    <w:rsid w:val="00745866"/>
    <w:rsid w:val="00746480"/>
    <w:rsid w:val="007470A4"/>
    <w:rsid w:val="00751601"/>
    <w:rsid w:val="00752BF6"/>
    <w:rsid w:val="007545BD"/>
    <w:rsid w:val="007600F8"/>
    <w:rsid w:val="0076163D"/>
    <w:rsid w:val="00762084"/>
    <w:rsid w:val="00762F03"/>
    <w:rsid w:val="00763130"/>
    <w:rsid w:val="007661D9"/>
    <w:rsid w:val="007663D7"/>
    <w:rsid w:val="007673BA"/>
    <w:rsid w:val="007676D1"/>
    <w:rsid w:val="0077421E"/>
    <w:rsid w:val="00774461"/>
    <w:rsid w:val="00774AAA"/>
    <w:rsid w:val="00775C11"/>
    <w:rsid w:val="00776B7F"/>
    <w:rsid w:val="007778B5"/>
    <w:rsid w:val="007805F2"/>
    <w:rsid w:val="007807A7"/>
    <w:rsid w:val="007820F1"/>
    <w:rsid w:val="007852A4"/>
    <w:rsid w:val="00785DDF"/>
    <w:rsid w:val="00786877"/>
    <w:rsid w:val="00787FAC"/>
    <w:rsid w:val="00790B9A"/>
    <w:rsid w:val="007925C7"/>
    <w:rsid w:val="00793598"/>
    <w:rsid w:val="00797319"/>
    <w:rsid w:val="007A08EE"/>
    <w:rsid w:val="007A0D5A"/>
    <w:rsid w:val="007A189F"/>
    <w:rsid w:val="007A34C3"/>
    <w:rsid w:val="007A443E"/>
    <w:rsid w:val="007A536B"/>
    <w:rsid w:val="007A5480"/>
    <w:rsid w:val="007A5843"/>
    <w:rsid w:val="007A6A00"/>
    <w:rsid w:val="007B43B9"/>
    <w:rsid w:val="007B4DF1"/>
    <w:rsid w:val="007B7B2E"/>
    <w:rsid w:val="007C0884"/>
    <w:rsid w:val="007C1810"/>
    <w:rsid w:val="007C1F2A"/>
    <w:rsid w:val="007C4117"/>
    <w:rsid w:val="007C4E3D"/>
    <w:rsid w:val="007C645B"/>
    <w:rsid w:val="007D1D35"/>
    <w:rsid w:val="007D3049"/>
    <w:rsid w:val="007D3E3A"/>
    <w:rsid w:val="007D56BB"/>
    <w:rsid w:val="007D7C22"/>
    <w:rsid w:val="007E2898"/>
    <w:rsid w:val="007E634B"/>
    <w:rsid w:val="007E7BF2"/>
    <w:rsid w:val="007F3120"/>
    <w:rsid w:val="007F64F6"/>
    <w:rsid w:val="007F7604"/>
    <w:rsid w:val="008049BE"/>
    <w:rsid w:val="00810B31"/>
    <w:rsid w:val="00810E85"/>
    <w:rsid w:val="00810F32"/>
    <w:rsid w:val="00812C3F"/>
    <w:rsid w:val="00813C4D"/>
    <w:rsid w:val="008152EF"/>
    <w:rsid w:val="008156EB"/>
    <w:rsid w:val="0081572F"/>
    <w:rsid w:val="00815E76"/>
    <w:rsid w:val="00822893"/>
    <w:rsid w:val="00822FBB"/>
    <w:rsid w:val="00824EE6"/>
    <w:rsid w:val="00827076"/>
    <w:rsid w:val="008304EC"/>
    <w:rsid w:val="00833D48"/>
    <w:rsid w:val="008351AB"/>
    <w:rsid w:val="008352D3"/>
    <w:rsid w:val="00841FDA"/>
    <w:rsid w:val="00842713"/>
    <w:rsid w:val="0084280D"/>
    <w:rsid w:val="00842D33"/>
    <w:rsid w:val="0084677C"/>
    <w:rsid w:val="00847361"/>
    <w:rsid w:val="008474A3"/>
    <w:rsid w:val="008519BA"/>
    <w:rsid w:val="00855AD5"/>
    <w:rsid w:val="00855B7E"/>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3F03"/>
    <w:rsid w:val="008A4515"/>
    <w:rsid w:val="008A4E0F"/>
    <w:rsid w:val="008A539A"/>
    <w:rsid w:val="008B2E21"/>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4AD0"/>
    <w:rsid w:val="00976A52"/>
    <w:rsid w:val="00980347"/>
    <w:rsid w:val="00982396"/>
    <w:rsid w:val="00982F9D"/>
    <w:rsid w:val="00983999"/>
    <w:rsid w:val="0098792C"/>
    <w:rsid w:val="00990CB9"/>
    <w:rsid w:val="00992D97"/>
    <w:rsid w:val="00993D12"/>
    <w:rsid w:val="00994BEB"/>
    <w:rsid w:val="009953A8"/>
    <w:rsid w:val="00995D32"/>
    <w:rsid w:val="00995E93"/>
    <w:rsid w:val="009A189E"/>
    <w:rsid w:val="009A298E"/>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4395"/>
    <w:rsid w:val="009F4BB4"/>
    <w:rsid w:val="009F7F9A"/>
    <w:rsid w:val="00A00305"/>
    <w:rsid w:val="00A00D20"/>
    <w:rsid w:val="00A076B3"/>
    <w:rsid w:val="00A11252"/>
    <w:rsid w:val="00A14326"/>
    <w:rsid w:val="00A15E96"/>
    <w:rsid w:val="00A202F7"/>
    <w:rsid w:val="00A21A72"/>
    <w:rsid w:val="00A21C98"/>
    <w:rsid w:val="00A229F4"/>
    <w:rsid w:val="00A31141"/>
    <w:rsid w:val="00A313C4"/>
    <w:rsid w:val="00A34F75"/>
    <w:rsid w:val="00A35C09"/>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18DB"/>
    <w:rsid w:val="00B37E7B"/>
    <w:rsid w:val="00B40F7A"/>
    <w:rsid w:val="00B4163B"/>
    <w:rsid w:val="00B419C2"/>
    <w:rsid w:val="00B43DBA"/>
    <w:rsid w:val="00B4407A"/>
    <w:rsid w:val="00B450EE"/>
    <w:rsid w:val="00B46611"/>
    <w:rsid w:val="00B46621"/>
    <w:rsid w:val="00B467CE"/>
    <w:rsid w:val="00B46ABF"/>
    <w:rsid w:val="00B5054D"/>
    <w:rsid w:val="00B50AB1"/>
    <w:rsid w:val="00B51D59"/>
    <w:rsid w:val="00B54240"/>
    <w:rsid w:val="00B563DC"/>
    <w:rsid w:val="00B5668B"/>
    <w:rsid w:val="00B61C4B"/>
    <w:rsid w:val="00B64B81"/>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59DC"/>
    <w:rsid w:val="00BB5D02"/>
    <w:rsid w:val="00BC03EF"/>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20A25"/>
    <w:rsid w:val="00C20B33"/>
    <w:rsid w:val="00C216C6"/>
    <w:rsid w:val="00C21A5B"/>
    <w:rsid w:val="00C23E76"/>
    <w:rsid w:val="00C255EB"/>
    <w:rsid w:val="00C30488"/>
    <w:rsid w:val="00C31008"/>
    <w:rsid w:val="00C31CD7"/>
    <w:rsid w:val="00C32932"/>
    <w:rsid w:val="00C34845"/>
    <w:rsid w:val="00C3510E"/>
    <w:rsid w:val="00C3638B"/>
    <w:rsid w:val="00C371B5"/>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58B"/>
    <w:rsid w:val="00CB52FC"/>
    <w:rsid w:val="00CB6FC7"/>
    <w:rsid w:val="00CC0008"/>
    <w:rsid w:val="00CC25DE"/>
    <w:rsid w:val="00CC2633"/>
    <w:rsid w:val="00CC48D6"/>
    <w:rsid w:val="00CC5917"/>
    <w:rsid w:val="00CD4130"/>
    <w:rsid w:val="00CD440E"/>
    <w:rsid w:val="00CD5EF4"/>
    <w:rsid w:val="00CE0399"/>
    <w:rsid w:val="00CE1C35"/>
    <w:rsid w:val="00CE44BD"/>
    <w:rsid w:val="00CE4F3E"/>
    <w:rsid w:val="00CF12D5"/>
    <w:rsid w:val="00CF14A5"/>
    <w:rsid w:val="00CF16B3"/>
    <w:rsid w:val="00CF45C5"/>
    <w:rsid w:val="00CF6364"/>
    <w:rsid w:val="00D01A77"/>
    <w:rsid w:val="00D02CBD"/>
    <w:rsid w:val="00D0342C"/>
    <w:rsid w:val="00D078DF"/>
    <w:rsid w:val="00D13AA0"/>
    <w:rsid w:val="00D172F7"/>
    <w:rsid w:val="00D17B7C"/>
    <w:rsid w:val="00D17F89"/>
    <w:rsid w:val="00D20078"/>
    <w:rsid w:val="00D21A26"/>
    <w:rsid w:val="00D254FA"/>
    <w:rsid w:val="00D25A80"/>
    <w:rsid w:val="00D268A5"/>
    <w:rsid w:val="00D26F7A"/>
    <w:rsid w:val="00D27789"/>
    <w:rsid w:val="00D30A60"/>
    <w:rsid w:val="00D34970"/>
    <w:rsid w:val="00D35710"/>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33F6"/>
    <w:rsid w:val="00D7519A"/>
    <w:rsid w:val="00D75377"/>
    <w:rsid w:val="00D76711"/>
    <w:rsid w:val="00D82080"/>
    <w:rsid w:val="00D82988"/>
    <w:rsid w:val="00D82FB3"/>
    <w:rsid w:val="00D8322D"/>
    <w:rsid w:val="00D83B53"/>
    <w:rsid w:val="00D8579C"/>
    <w:rsid w:val="00D868B9"/>
    <w:rsid w:val="00D86E17"/>
    <w:rsid w:val="00D9106B"/>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F47"/>
    <w:rsid w:val="00E53461"/>
    <w:rsid w:val="00E5398D"/>
    <w:rsid w:val="00E552CB"/>
    <w:rsid w:val="00E55B2E"/>
    <w:rsid w:val="00E567E0"/>
    <w:rsid w:val="00E574A6"/>
    <w:rsid w:val="00E600A2"/>
    <w:rsid w:val="00E6204C"/>
    <w:rsid w:val="00E62613"/>
    <w:rsid w:val="00E62835"/>
    <w:rsid w:val="00E6299B"/>
    <w:rsid w:val="00E65B24"/>
    <w:rsid w:val="00E6699D"/>
    <w:rsid w:val="00E66BA9"/>
    <w:rsid w:val="00E6784C"/>
    <w:rsid w:val="00E67A74"/>
    <w:rsid w:val="00E7243F"/>
    <w:rsid w:val="00E72D29"/>
    <w:rsid w:val="00E73C3A"/>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43567"/>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6E5F"/>
    <w:rsid w:val="00F7703A"/>
    <w:rsid w:val="00F82A7E"/>
    <w:rsid w:val="00F83420"/>
    <w:rsid w:val="00F84C4E"/>
    <w:rsid w:val="00F861C9"/>
    <w:rsid w:val="00F86522"/>
    <w:rsid w:val="00F87014"/>
    <w:rsid w:val="00F87AF3"/>
    <w:rsid w:val="00F90324"/>
    <w:rsid w:val="00F91B9C"/>
    <w:rsid w:val="00F95A42"/>
    <w:rsid w:val="00F9673C"/>
    <w:rsid w:val="00F9794E"/>
    <w:rsid w:val="00F979FB"/>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23FB"/>
    <w:rsid w:val="00FD38BA"/>
    <w:rsid w:val="00FD4451"/>
    <w:rsid w:val="00FE036E"/>
    <w:rsid w:val="00FE133E"/>
    <w:rsid w:val="00FE2C7A"/>
    <w:rsid w:val="00FE3C68"/>
    <w:rsid w:val="00FE6450"/>
    <w:rsid w:val="00FE64D4"/>
    <w:rsid w:val="00FF1CDF"/>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9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9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XHealthcareTransformation@hhsc.state.tx.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b.state.tx.us/dl/DAD89645-F81F-CF51-6FF8-D0E20891625A" TargetMode="External"/><Relationship Id="rId5" Type="http://schemas.openxmlformats.org/officeDocument/2006/relationships/settings" Target="settings.xml"/><Relationship Id="rId10" Type="http://schemas.openxmlformats.org/officeDocument/2006/relationships/hyperlink" Target="mailto:TXHealthcareTransformation@hhsc.state.tx.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06418-1FE3-4FB1-B063-D0089B1F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374</TotalTime>
  <Pages>4</Pages>
  <Words>1700</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30</cp:revision>
  <cp:lastPrinted>2015-04-17T18:08:00Z</cp:lastPrinted>
  <dcterms:created xsi:type="dcterms:W3CDTF">2015-04-15T16:19:00Z</dcterms:created>
  <dcterms:modified xsi:type="dcterms:W3CDTF">2015-04-17T20:27:00Z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